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bCs/>
          <w:sz w:val="32"/>
          <w:szCs w:val="32"/>
        </w:rPr>
      </w:pPr>
    </w:p>
    <w:p>
      <w:pPr>
        <w:jc w:val="center"/>
        <w:rPr>
          <w:rFonts w:ascii="宋体"/>
          <w:b/>
          <w:bCs/>
          <w:sz w:val="32"/>
          <w:szCs w:val="32"/>
        </w:rPr>
      </w:pPr>
    </w:p>
    <w:p>
      <w:pPr>
        <w:jc w:val="center"/>
        <w:rPr>
          <w:rFonts w:ascii="宋体"/>
          <w:b/>
          <w:bCs/>
          <w:sz w:val="32"/>
          <w:szCs w:val="32"/>
        </w:rPr>
      </w:pPr>
    </w:p>
    <w:p>
      <w:pPr>
        <w:spacing w:line="360" w:lineRule="auto"/>
        <w:jc w:val="center"/>
        <w:rPr>
          <w:rFonts w:hint="eastAsia"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pPr>
        <w:spacing w:line="360" w:lineRule="auto"/>
        <w:jc w:val="center"/>
        <w:rPr>
          <w:rFonts w:hint="eastAsia" w:ascii="黑体" w:eastAsia="黑体" w:hAnsiTheme="minorHAnsi" w:cstheme="minorBidi"/>
          <w:b/>
          <w:kern w:val="22"/>
          <w:sz w:val="44"/>
          <w:szCs w:val="44"/>
        </w:rPr>
      </w:pPr>
      <w:r>
        <w:rPr>
          <w:rFonts w:hint="eastAsia" w:ascii="黑体" w:eastAsia="黑体" w:hAnsiTheme="minorHAnsi" w:cstheme="minorBidi"/>
          <w:b/>
          <w:kern w:val="22"/>
          <w:sz w:val="44"/>
          <w:szCs w:val="44"/>
        </w:rPr>
        <w:t>《苹果开心树形</w:t>
      </w:r>
      <w:r>
        <w:rPr>
          <w:rFonts w:hint="eastAsia" w:ascii="黑体" w:eastAsia="黑体" w:hAnsiTheme="minorHAnsi" w:cstheme="minorBidi"/>
          <w:b/>
          <w:kern w:val="22"/>
          <w:sz w:val="44"/>
          <w:szCs w:val="44"/>
          <w:lang w:val="en-US" w:eastAsia="zh-CN"/>
        </w:rPr>
        <w:t>整形修剪</w:t>
      </w:r>
      <w:r>
        <w:rPr>
          <w:rFonts w:hint="eastAsia" w:ascii="黑体" w:eastAsia="黑体" w:hAnsiTheme="minorHAnsi" w:cstheme="minorBidi"/>
          <w:b/>
          <w:kern w:val="22"/>
          <w:sz w:val="44"/>
          <w:szCs w:val="44"/>
        </w:rPr>
        <w:t>技术规程》</w:t>
      </w:r>
    </w:p>
    <w:p>
      <w:pPr>
        <w:spacing w:line="360" w:lineRule="auto"/>
        <w:jc w:val="center"/>
        <w:rPr>
          <w:rFonts w:hint="eastAsia"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pPr>
        <w:ind w:firstLine="643" w:firstLineChars="200"/>
        <w:rPr>
          <w:rFonts w:ascii="仿宋" w:hAnsi="仿宋" w:eastAsia="仿宋"/>
          <w:b/>
          <w:bCs/>
          <w:sz w:val="32"/>
          <w:szCs w:val="32"/>
        </w:rPr>
      </w:pPr>
    </w:p>
    <w:p>
      <w:pPr>
        <w:ind w:firstLine="643" w:firstLineChars="200"/>
        <w:rPr>
          <w:rFonts w:ascii="仿宋" w:hAnsi="仿宋" w:eastAsia="仿宋"/>
          <w:b/>
          <w:bCs/>
          <w:sz w:val="32"/>
          <w:szCs w:val="32"/>
        </w:rPr>
      </w:pPr>
    </w:p>
    <w:p>
      <w:pPr>
        <w:ind w:firstLine="643" w:firstLineChars="200"/>
        <w:rPr>
          <w:rFonts w:ascii="仿宋" w:hAnsi="仿宋" w:eastAsia="仿宋"/>
          <w:b/>
          <w:bCs/>
          <w:sz w:val="32"/>
          <w:szCs w:val="32"/>
        </w:rPr>
      </w:pPr>
    </w:p>
    <w:p>
      <w:pPr>
        <w:ind w:firstLine="643" w:firstLineChars="200"/>
        <w:rPr>
          <w:rFonts w:ascii="仿宋" w:hAnsi="仿宋" w:eastAsia="仿宋"/>
          <w:b/>
          <w:bCs/>
          <w:sz w:val="32"/>
          <w:szCs w:val="32"/>
        </w:rPr>
      </w:pPr>
    </w:p>
    <w:p>
      <w:pPr>
        <w:ind w:firstLine="643" w:firstLineChars="200"/>
        <w:rPr>
          <w:rFonts w:ascii="仿宋" w:hAnsi="仿宋" w:eastAsia="仿宋"/>
          <w:b/>
          <w:bCs/>
          <w:sz w:val="32"/>
          <w:szCs w:val="32"/>
        </w:rPr>
      </w:pPr>
    </w:p>
    <w:p>
      <w:pPr>
        <w:ind w:firstLine="643" w:firstLineChars="200"/>
        <w:rPr>
          <w:rFonts w:ascii="仿宋" w:hAnsi="仿宋" w:eastAsia="仿宋"/>
          <w:b/>
          <w:bCs/>
          <w:sz w:val="32"/>
          <w:szCs w:val="32"/>
        </w:rPr>
      </w:pPr>
    </w:p>
    <w:p>
      <w:pPr>
        <w:ind w:firstLine="643" w:firstLineChars="200"/>
        <w:rPr>
          <w:rFonts w:ascii="仿宋" w:hAnsi="仿宋" w:eastAsia="仿宋"/>
          <w:b/>
          <w:bCs/>
          <w:sz w:val="32"/>
          <w:szCs w:val="32"/>
        </w:rPr>
      </w:pPr>
    </w:p>
    <w:p>
      <w:pPr>
        <w:ind w:firstLine="643" w:firstLineChars="200"/>
        <w:jc w:val="center"/>
        <w:rPr>
          <w:rFonts w:ascii="仿宋" w:hAnsi="仿宋" w:eastAsia="仿宋"/>
          <w:b/>
          <w:bCs/>
          <w:sz w:val="32"/>
          <w:szCs w:val="32"/>
        </w:rPr>
      </w:pPr>
    </w:p>
    <w:p>
      <w:pPr>
        <w:ind w:firstLine="643" w:firstLineChars="200"/>
        <w:jc w:val="center"/>
        <w:rPr>
          <w:rFonts w:ascii="宋体"/>
          <w:b/>
          <w:bCs/>
          <w:sz w:val="32"/>
          <w:szCs w:val="32"/>
        </w:rPr>
      </w:pPr>
    </w:p>
    <w:p>
      <w:pPr>
        <w:ind w:firstLine="643" w:firstLineChars="200"/>
        <w:jc w:val="center"/>
        <w:rPr>
          <w:rFonts w:ascii="宋体"/>
          <w:b/>
          <w:bCs/>
          <w:sz w:val="32"/>
          <w:szCs w:val="32"/>
        </w:rPr>
      </w:pPr>
    </w:p>
    <w:p>
      <w:pPr>
        <w:ind w:firstLine="643" w:firstLineChars="200"/>
        <w:jc w:val="center"/>
        <w:rPr>
          <w:rFonts w:ascii="宋体"/>
          <w:b/>
          <w:bCs/>
          <w:sz w:val="32"/>
          <w:szCs w:val="32"/>
        </w:rPr>
      </w:pPr>
    </w:p>
    <w:p>
      <w:pPr>
        <w:spacing w:line="360" w:lineRule="auto"/>
        <w:jc w:val="center"/>
        <w:rPr>
          <w:rFonts w:ascii="宋体"/>
          <w:b/>
          <w:bCs/>
          <w:kern w:val="22"/>
          <w:sz w:val="10"/>
          <w:szCs w:val="10"/>
        </w:rPr>
      </w:pPr>
      <w:r>
        <w:rPr>
          <w:rFonts w:hint="eastAsia" w:ascii="宋体" w:hAnsi="宋体" w:cs="宋体"/>
          <w:b/>
          <w:bCs/>
          <w:kern w:val="22"/>
          <w:sz w:val="32"/>
          <w:szCs w:val="32"/>
        </w:rPr>
        <w:t>编制单位：山西农业大学</w:t>
      </w:r>
    </w:p>
    <w:p>
      <w:pPr>
        <w:jc w:val="center"/>
        <w:rPr>
          <w:rFonts w:ascii="宋体"/>
          <w:b/>
          <w:bCs/>
          <w:sz w:val="32"/>
          <w:szCs w:val="32"/>
        </w:rPr>
      </w:pPr>
      <w:r>
        <w:rPr>
          <w:rFonts w:ascii="宋体" w:hAnsi="宋体" w:cs="宋体"/>
          <w:b/>
          <w:bCs/>
          <w:sz w:val="32"/>
          <w:szCs w:val="32"/>
        </w:rPr>
        <w:t xml:space="preserve"> </w:t>
      </w:r>
      <w:r>
        <w:rPr>
          <w:rFonts w:hint="eastAsia" w:ascii="宋体" w:hAnsi="宋体" w:cs="宋体"/>
          <w:b/>
          <w:bCs/>
          <w:sz w:val="32"/>
          <w:szCs w:val="32"/>
        </w:rPr>
        <w:t>二〇二四年</w:t>
      </w:r>
      <w:r>
        <w:rPr>
          <w:rFonts w:hint="eastAsia" w:ascii="宋体" w:hAnsi="宋体" w:cs="宋体"/>
          <w:b/>
          <w:bCs/>
          <w:sz w:val="32"/>
          <w:szCs w:val="32"/>
          <w:lang w:val="en-US" w:eastAsia="zh-CN"/>
        </w:rPr>
        <w:t>三</w:t>
      </w:r>
      <w:r>
        <w:rPr>
          <w:rFonts w:hint="eastAsia" w:ascii="宋体" w:hAnsi="宋体" w:cs="宋体"/>
          <w:b/>
          <w:bCs/>
          <w:sz w:val="32"/>
          <w:szCs w:val="32"/>
        </w:rPr>
        <w:t>月</w:t>
      </w:r>
    </w:p>
    <w:p>
      <w:pPr>
        <w:jc w:val="center"/>
        <w:rPr>
          <w:rFonts w:ascii="宋体"/>
          <w:b/>
          <w:bCs/>
          <w:sz w:val="32"/>
          <w:szCs w:val="32"/>
        </w:rPr>
      </w:pPr>
    </w:p>
    <w:p>
      <w:pPr>
        <w:jc w:val="center"/>
        <w:rPr>
          <w:rFonts w:ascii="宋体"/>
          <w:b/>
          <w:bCs/>
          <w:sz w:val="32"/>
          <w:szCs w:val="32"/>
        </w:rPr>
      </w:pPr>
    </w:p>
    <w:p>
      <w:pPr>
        <w:jc w:val="center"/>
        <w:rPr>
          <w:rFonts w:ascii="宋体"/>
          <w:b/>
          <w:bCs/>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
          <w:sz w:val="30"/>
          <w:szCs w:val="30"/>
        </w:rPr>
      </w:pPr>
      <w:r>
        <w:rPr>
          <w:rFonts w:hint="eastAsia" w:ascii="宋体" w:hAnsi="宋体"/>
          <w:b/>
          <w:sz w:val="30"/>
          <w:szCs w:val="30"/>
        </w:rPr>
        <w:t>山西省地方标准</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
          <w:sz w:val="30"/>
          <w:szCs w:val="30"/>
        </w:rPr>
      </w:pPr>
      <w:r>
        <w:rPr>
          <w:rFonts w:hint="eastAsia" w:ascii="宋体" w:hAnsi="宋体"/>
          <w:b/>
          <w:sz w:val="30"/>
          <w:szCs w:val="30"/>
        </w:rPr>
        <w:t>《苹果开心树形</w:t>
      </w:r>
      <w:r>
        <w:rPr>
          <w:rFonts w:hint="eastAsia" w:ascii="宋体" w:hAnsi="宋体"/>
          <w:b/>
          <w:sz w:val="30"/>
          <w:szCs w:val="30"/>
          <w:lang w:val="en-US" w:eastAsia="zh-CN"/>
        </w:rPr>
        <w:t>整形修剪</w:t>
      </w:r>
      <w:r>
        <w:rPr>
          <w:rFonts w:hint="eastAsia" w:ascii="宋体" w:hAnsi="宋体"/>
          <w:b/>
          <w:sz w:val="30"/>
          <w:szCs w:val="30"/>
        </w:rPr>
        <w:t>技术规程》</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
          <w:sz w:val="30"/>
          <w:szCs w:val="30"/>
        </w:rPr>
      </w:pPr>
      <w:r>
        <w:rPr>
          <w:rFonts w:hint="eastAsia" w:ascii="宋体" w:hAnsi="宋体"/>
          <w:b/>
          <w:sz w:val="30"/>
          <w:szCs w:val="30"/>
        </w:rPr>
        <w:t>编制说明</w:t>
      </w:r>
    </w:p>
    <w:p>
      <w:pPr>
        <w:spacing w:line="360" w:lineRule="auto"/>
        <w:ind w:firstLine="480" w:firstLineChars="200"/>
        <w:outlineLvl w:val="0"/>
        <w:rPr>
          <w:rFonts w:ascii="黑体" w:eastAsia="黑体"/>
          <w:sz w:val="24"/>
          <w:szCs w:val="24"/>
        </w:rPr>
      </w:pPr>
      <w:r>
        <w:rPr>
          <w:rFonts w:hint="eastAsia" w:ascii="黑体" w:eastAsia="黑体" w:cs="黑体"/>
          <w:sz w:val="24"/>
          <w:szCs w:val="24"/>
        </w:rPr>
        <w:t>一、工作简况</w:t>
      </w:r>
    </w:p>
    <w:p>
      <w:pPr>
        <w:spacing w:line="360" w:lineRule="auto"/>
        <w:ind w:left="465"/>
        <w:outlineLvl w:val="1"/>
        <w:rPr>
          <w:rFonts w:ascii="楷体_GB2312" w:eastAsia="楷体_GB2312"/>
          <w:sz w:val="24"/>
          <w:szCs w:val="24"/>
        </w:rPr>
      </w:pPr>
      <w:r>
        <w:rPr>
          <w:rFonts w:ascii="楷体_GB2312" w:eastAsia="楷体_GB2312" w:cs="楷体_GB2312"/>
          <w:sz w:val="24"/>
          <w:szCs w:val="24"/>
        </w:rPr>
        <w:t>1</w:t>
      </w:r>
      <w:r>
        <w:rPr>
          <w:rFonts w:hint="eastAsia" w:ascii="楷体_GB2312" w:eastAsia="楷体_GB2312" w:cs="楷体_GB2312"/>
          <w:sz w:val="24"/>
          <w:szCs w:val="24"/>
        </w:rPr>
        <w:t>任务来源</w:t>
      </w:r>
    </w:p>
    <w:p>
      <w:pPr>
        <w:spacing w:line="360" w:lineRule="auto"/>
        <w:ind w:firstLine="480" w:firstLineChars="200"/>
        <w:outlineLvl w:val="1"/>
        <w:rPr>
          <w:rFonts w:ascii="??_GB2312" w:hAnsi="宋体" w:eastAsia="Times New Roman"/>
          <w:sz w:val="24"/>
          <w:szCs w:val="24"/>
        </w:rPr>
      </w:pPr>
      <w:r>
        <w:rPr>
          <w:rFonts w:ascii="??_GB2312" w:hAnsi="宋体" w:eastAsia="Times New Roman"/>
          <w:sz w:val="24"/>
          <w:szCs w:val="24"/>
        </w:rPr>
        <w:t>根据山西省市场监督管理局关于</w:t>
      </w:r>
      <w:r>
        <w:rPr>
          <w:rFonts w:ascii="??_GB2312" w:hAnsi="宋体" w:eastAsia="Times New Roman" w:cs="??_GB2312"/>
          <w:sz w:val="24"/>
          <w:szCs w:val="24"/>
        </w:rPr>
        <w:t>2022</w:t>
      </w:r>
      <w:r>
        <w:rPr>
          <w:rFonts w:ascii="??_GB2312" w:hAnsi="宋体" w:eastAsia="Times New Roman"/>
          <w:sz w:val="24"/>
          <w:szCs w:val="24"/>
        </w:rPr>
        <w:t>年度省级地方标准复审结论公告（山西省地方标准公告</w:t>
      </w:r>
      <w:r>
        <w:rPr>
          <w:rFonts w:ascii="??_GB2312" w:hAnsi="宋体" w:eastAsia="Times New Roman" w:cs="??_GB2312"/>
          <w:sz w:val="24"/>
          <w:szCs w:val="24"/>
        </w:rPr>
        <w:t>2022</w:t>
      </w:r>
      <w:r>
        <w:rPr>
          <w:rFonts w:ascii="??_GB2312" w:hAnsi="宋体" w:eastAsia="Times New Roman"/>
          <w:sz w:val="24"/>
          <w:szCs w:val="24"/>
        </w:rPr>
        <w:t>年第</w:t>
      </w:r>
      <w:r>
        <w:rPr>
          <w:rFonts w:ascii="??_GB2312" w:hAnsi="宋体" w:eastAsia="Times New Roman" w:cs="??_GB2312"/>
          <w:sz w:val="24"/>
          <w:szCs w:val="24"/>
        </w:rPr>
        <w:t>20</w:t>
      </w:r>
      <w:r>
        <w:rPr>
          <w:rFonts w:ascii="??_GB2312" w:hAnsi="宋体" w:eastAsia="Times New Roman"/>
          <w:sz w:val="24"/>
          <w:szCs w:val="24"/>
        </w:rPr>
        <w:t>号）要求，山西省农业农村厅等单位组织修订地方标准项目。经审查，《苹果高光效开心树形生产技术规程》</w:t>
      </w:r>
      <w:r>
        <w:rPr>
          <w:rFonts w:ascii="??_GB2312" w:hAnsi="宋体" w:eastAsia="Times New Roman" w:cs="??_GB2312"/>
          <w:sz w:val="24"/>
          <w:szCs w:val="24"/>
        </w:rPr>
        <w:t>DB14/T 1184-2016</w:t>
      </w:r>
      <w:r>
        <w:rPr>
          <w:rFonts w:ascii="??_GB2312" w:hAnsi="宋体" w:eastAsia="Times New Roman"/>
          <w:sz w:val="24"/>
          <w:szCs w:val="24"/>
        </w:rPr>
        <w:t>列为山西省地方标准修订计划，本标准由山西省农业标准化技术委员会（</w:t>
      </w:r>
      <w:r>
        <w:rPr>
          <w:rFonts w:ascii="??_GB2312" w:hAnsi="宋体" w:eastAsia="Times New Roman" w:cs="??_GB2312"/>
          <w:sz w:val="24"/>
          <w:szCs w:val="24"/>
        </w:rPr>
        <w:t>SXS/TC19</w:t>
      </w:r>
      <w:r>
        <w:rPr>
          <w:rFonts w:ascii="??_GB2312" w:hAnsi="宋体" w:eastAsia="Times New Roman"/>
          <w:sz w:val="24"/>
          <w:szCs w:val="24"/>
        </w:rPr>
        <w:t>）归口。</w:t>
      </w:r>
    </w:p>
    <w:p>
      <w:pPr>
        <w:spacing w:line="360" w:lineRule="auto"/>
        <w:ind w:firstLine="480" w:firstLineChars="200"/>
        <w:jc w:val="left"/>
        <w:outlineLvl w:val="1"/>
        <w:rPr>
          <w:rFonts w:ascii="??_GB2312" w:hAnsi="宋体" w:eastAsia="Times New Roman"/>
          <w:sz w:val="24"/>
          <w:szCs w:val="24"/>
        </w:rPr>
      </w:pPr>
      <w:r>
        <w:rPr>
          <w:rFonts w:ascii="??_GB2312" w:hAnsi="宋体" w:eastAsia="Times New Roman"/>
          <w:sz w:val="24"/>
          <w:szCs w:val="24"/>
        </w:rPr>
        <w:t>随着我省苹果产区树龄的增加，当地不少乔化栽培果园普遍出现了树冠郁闭和果园郁闭问题，据调查统计，现有苹果栽培面积中</w:t>
      </w:r>
      <w:r>
        <w:rPr>
          <w:rFonts w:ascii="??_GB2312" w:hAnsi="宋体" w:eastAsia="Times New Roman" w:cs="??_GB2312"/>
          <w:sz w:val="24"/>
          <w:szCs w:val="24"/>
        </w:rPr>
        <w:t>80%</w:t>
      </w:r>
      <w:r>
        <w:rPr>
          <w:rFonts w:ascii="??_GB2312" w:hAnsi="宋体" w:eastAsia="Times New Roman"/>
          <w:sz w:val="24"/>
          <w:szCs w:val="24"/>
        </w:rPr>
        <w:t>以上果园存在不同程度的树冠郁闭和果园郁闭问题，导致果个变小，品质下滑，也影响了果园正常的经济寿命。山西农业大学园艺学院依托科技部重点研发计划课题、山西省农业产业发展科技引领工程、山西省产业技术体系等，开展了苹果开心树形整形修剪及果园改造方面的研究，积累了许多实践经验，取得了多项科研和科技应用成果，同时也建立标准化高效生产技术模式。在此基础上，根据近年来我省苹果乔化果园生产调查发现的问题，团队修订了苹果高光效开心树形生产技术规程，为山西省苹果果园提质增效提供技术支撑。</w:t>
      </w:r>
    </w:p>
    <w:p>
      <w:pPr>
        <w:spacing w:line="360" w:lineRule="auto"/>
        <w:ind w:left="465"/>
        <w:outlineLvl w:val="1"/>
        <w:rPr>
          <w:rFonts w:ascii="楷体_GB2312" w:eastAsia="楷体_GB2312"/>
          <w:sz w:val="24"/>
          <w:szCs w:val="24"/>
        </w:rPr>
      </w:pPr>
      <w:r>
        <w:rPr>
          <w:rFonts w:ascii="楷体_GB2312" w:eastAsia="楷体_GB2312" w:cs="楷体_GB2312"/>
          <w:sz w:val="24"/>
          <w:szCs w:val="24"/>
        </w:rPr>
        <w:t xml:space="preserve">2 </w:t>
      </w:r>
      <w:r>
        <w:rPr>
          <w:rFonts w:hint="eastAsia" w:ascii="楷体_GB2312" w:eastAsia="楷体_GB2312" w:cs="楷体_GB2312"/>
          <w:sz w:val="24"/>
          <w:szCs w:val="24"/>
        </w:rPr>
        <w:t>起草单位和主要起草人</w:t>
      </w:r>
    </w:p>
    <w:p>
      <w:pPr>
        <w:spacing w:line="360" w:lineRule="auto"/>
        <w:ind w:firstLine="480" w:firstLineChars="200"/>
        <w:jc w:val="left"/>
        <w:outlineLvl w:val="1"/>
        <w:rPr>
          <w:rFonts w:ascii="??_GB2312" w:hAnsi="宋体" w:eastAsia="Times New Roman"/>
          <w:sz w:val="24"/>
          <w:szCs w:val="24"/>
        </w:rPr>
      </w:pPr>
      <w:r>
        <w:rPr>
          <w:rFonts w:ascii="??_GB2312" w:hAnsi="宋体" w:eastAsia="Times New Roman"/>
          <w:sz w:val="24"/>
          <w:szCs w:val="24"/>
        </w:rPr>
        <w:t>起草任务由山西农业大学实施。</w:t>
      </w:r>
    </w:p>
    <w:p>
      <w:pPr>
        <w:spacing w:line="360" w:lineRule="auto"/>
        <w:ind w:firstLine="480" w:firstLineChars="200"/>
        <w:jc w:val="center"/>
        <w:outlineLvl w:val="1"/>
        <w:rPr>
          <w:rFonts w:ascii="??_GB2312" w:hAnsi="宋体" w:eastAsia="Times New Roman"/>
          <w:sz w:val="24"/>
          <w:szCs w:val="24"/>
        </w:rPr>
      </w:pPr>
      <w:r>
        <w:rPr>
          <w:rFonts w:ascii="??_GB2312" w:hAnsi="宋体" w:eastAsia="Times New Roman"/>
          <w:sz w:val="24"/>
          <w:szCs w:val="24"/>
        </w:rPr>
        <w:t>主要起草人信息</w:t>
      </w:r>
    </w:p>
    <w:tbl>
      <w:tblPr>
        <w:tblStyle w:val="11"/>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993"/>
        <w:gridCol w:w="1701"/>
        <w:gridCol w:w="2693"/>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姓名</w:t>
            </w:r>
          </w:p>
        </w:tc>
        <w:tc>
          <w:tcPr>
            <w:tcW w:w="993"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性别</w:t>
            </w:r>
          </w:p>
        </w:tc>
        <w:tc>
          <w:tcPr>
            <w:tcW w:w="1701"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职务</w:t>
            </w:r>
            <w:r>
              <w:rPr>
                <w:rFonts w:hint="default" w:ascii="仿宋" w:hAnsi="仿宋" w:eastAsia="仿宋" w:cs="仿宋"/>
                <w:sz w:val="24"/>
                <w:szCs w:val="24"/>
              </w:rPr>
              <w:t>/</w:t>
            </w:r>
            <w:r>
              <w:rPr>
                <w:rFonts w:hint="eastAsia" w:ascii="仿宋" w:hAnsi="仿宋" w:eastAsia="仿宋" w:cs="仿宋"/>
                <w:sz w:val="24"/>
                <w:szCs w:val="24"/>
              </w:rPr>
              <w:t>职称</w:t>
            </w:r>
          </w:p>
        </w:tc>
        <w:tc>
          <w:tcPr>
            <w:tcW w:w="2693"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工作单位</w:t>
            </w:r>
          </w:p>
        </w:tc>
        <w:tc>
          <w:tcPr>
            <w:tcW w:w="1893"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蔚露</w:t>
            </w:r>
          </w:p>
        </w:tc>
        <w:tc>
          <w:tcPr>
            <w:tcW w:w="993"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女</w:t>
            </w:r>
          </w:p>
        </w:tc>
        <w:tc>
          <w:tcPr>
            <w:tcW w:w="1701"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副研究员</w:t>
            </w:r>
          </w:p>
        </w:tc>
        <w:tc>
          <w:tcPr>
            <w:tcW w:w="2693"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山西农业大学</w:t>
            </w:r>
          </w:p>
        </w:tc>
        <w:tc>
          <w:tcPr>
            <w:tcW w:w="1893"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牛自勉</w:t>
            </w:r>
          </w:p>
        </w:tc>
        <w:tc>
          <w:tcPr>
            <w:tcW w:w="993"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女</w:t>
            </w:r>
          </w:p>
        </w:tc>
        <w:tc>
          <w:tcPr>
            <w:tcW w:w="1701"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副研究员</w:t>
            </w:r>
          </w:p>
        </w:tc>
        <w:tc>
          <w:tcPr>
            <w:tcW w:w="2693"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山西农业大学</w:t>
            </w:r>
          </w:p>
        </w:tc>
        <w:tc>
          <w:tcPr>
            <w:tcW w:w="1893"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242"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闫万丽</w:t>
            </w:r>
          </w:p>
        </w:tc>
        <w:tc>
          <w:tcPr>
            <w:tcW w:w="993"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女</w:t>
            </w:r>
          </w:p>
        </w:tc>
        <w:tc>
          <w:tcPr>
            <w:tcW w:w="1701"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助理研究员</w:t>
            </w:r>
          </w:p>
        </w:tc>
        <w:tc>
          <w:tcPr>
            <w:tcW w:w="2693"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山西农业大学</w:t>
            </w:r>
          </w:p>
        </w:tc>
        <w:tc>
          <w:tcPr>
            <w:tcW w:w="1893"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现场调研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李志强</w:t>
            </w:r>
          </w:p>
        </w:tc>
        <w:tc>
          <w:tcPr>
            <w:tcW w:w="993"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男</w:t>
            </w:r>
          </w:p>
        </w:tc>
        <w:tc>
          <w:tcPr>
            <w:tcW w:w="1701"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副研究员</w:t>
            </w:r>
          </w:p>
        </w:tc>
        <w:tc>
          <w:tcPr>
            <w:tcW w:w="2693"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山西农业大学</w:t>
            </w:r>
          </w:p>
        </w:tc>
        <w:tc>
          <w:tcPr>
            <w:tcW w:w="1893"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试验验证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谢鹏</w:t>
            </w:r>
          </w:p>
        </w:tc>
        <w:tc>
          <w:tcPr>
            <w:tcW w:w="993"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男</w:t>
            </w:r>
          </w:p>
        </w:tc>
        <w:tc>
          <w:tcPr>
            <w:tcW w:w="1701"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助理研究员</w:t>
            </w:r>
          </w:p>
        </w:tc>
        <w:tc>
          <w:tcPr>
            <w:tcW w:w="2693"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山西农业大学</w:t>
            </w:r>
          </w:p>
        </w:tc>
        <w:tc>
          <w:tcPr>
            <w:tcW w:w="1893" w:type="dxa"/>
          </w:tcPr>
          <w:p>
            <w:pPr>
              <w:keepNext w:val="0"/>
              <w:keepLines w:val="0"/>
              <w:suppressLineNumbers w:val="0"/>
              <w:spacing w:before="0" w:beforeAutospacing="0" w:after="0" w:afterAutospacing="0" w:line="400" w:lineRule="exact"/>
              <w:ind w:left="0" w:right="0"/>
              <w:jc w:val="center"/>
              <w:rPr>
                <w:rFonts w:hint="default" w:ascii="仿宋" w:hAnsi="仿宋" w:eastAsia="仿宋"/>
                <w:sz w:val="24"/>
                <w:szCs w:val="24"/>
              </w:rPr>
            </w:pPr>
            <w:r>
              <w:rPr>
                <w:rFonts w:hint="eastAsia" w:ascii="仿宋" w:hAnsi="仿宋" w:eastAsia="仿宋" w:cs="仿宋"/>
                <w:sz w:val="24"/>
                <w:szCs w:val="24"/>
              </w:rPr>
              <w:t>试验验证</w:t>
            </w:r>
          </w:p>
        </w:tc>
      </w:tr>
    </w:tbl>
    <w:p>
      <w:pPr>
        <w:numPr>
          <w:ilvl w:val="0"/>
          <w:numId w:val="2"/>
        </w:numPr>
        <w:spacing w:line="360" w:lineRule="auto"/>
        <w:ind w:firstLine="480" w:firstLineChars="200"/>
        <w:outlineLvl w:val="0"/>
        <w:rPr>
          <w:rFonts w:ascii="黑体" w:eastAsia="黑体"/>
          <w:sz w:val="24"/>
          <w:szCs w:val="24"/>
        </w:rPr>
      </w:pPr>
      <w:r>
        <w:rPr>
          <w:rFonts w:hint="eastAsia" w:ascii="黑体" w:eastAsia="黑体" w:cs="黑体"/>
          <w:sz w:val="24"/>
          <w:szCs w:val="24"/>
        </w:rPr>
        <w:t>修订标准的必要性和意义</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苹果高光效开心树形生产技术规程》，主要针对山西省及我国黄土高原苹果产区果园而提出的。2016标准发布以来先后在我省运城市、临汾市、晋中市苹果主产区得到大面积示范应用，成为我省及陕西省、河北省、北京市等地苹果主产区苹果决策与产业提质增效的主要依据。</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标准发布以来，随着苹果树龄增加和相关研究的技术更新，原有的技术参数部分内容需要更新的数据，增补新的技术内容。因此，为了我省高光效苹果果园可持续高质量发展，需要对原有标准进行修订。</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本标准修订后使得我省苹果开心树形生产更加规范、更容易操作，提高果品产量和品质，增强市场竞争力，推进苹果产业标准化发展。</w:t>
      </w:r>
    </w:p>
    <w:p>
      <w:pPr>
        <w:spacing w:line="360" w:lineRule="auto"/>
        <w:ind w:firstLine="480" w:firstLineChars="200"/>
        <w:outlineLvl w:val="0"/>
        <w:rPr>
          <w:rFonts w:ascii="黑体" w:eastAsia="黑体"/>
          <w:sz w:val="24"/>
          <w:szCs w:val="24"/>
        </w:rPr>
      </w:pPr>
      <w:r>
        <w:rPr>
          <w:rFonts w:hint="eastAsia" w:ascii="黑体" w:eastAsia="黑体" w:cs="黑体"/>
          <w:sz w:val="24"/>
          <w:szCs w:val="24"/>
        </w:rPr>
        <w:t>三、主要修订工作过程</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1、成立标准修订工作组</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2022年10-12月，收到山西省市场监督管理局关于2022年度省级地方标准复审结论公告的通知后，山西农业大学园艺学院成立了标准修订工作组。组织修订工作人员，制定了工作计划，确保修订工作的顺利进行。</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2、调研考察</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2023年1-4月，对我省运城市、临汾市苹果产区的合作社、农户和技术骨干进行了苹果生产情况实地调查，调研了各地苹果园开心树形栽培与管理技术模式，获得了大量生产数据。</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3、收集资料</w:t>
      </w:r>
    </w:p>
    <w:p>
      <w:pPr>
        <w:spacing w:line="360" w:lineRule="auto"/>
        <w:ind w:firstLine="480" w:firstLineChars="200"/>
        <w:rPr>
          <w:rFonts w:eastAsia="Times New Roman"/>
          <w:sz w:val="24"/>
          <w:szCs w:val="24"/>
        </w:rPr>
      </w:pPr>
      <w:r>
        <w:rPr>
          <w:rFonts w:hint="eastAsia" w:ascii="宋体" w:hAnsi="宋体" w:cs="宋体"/>
          <w:sz w:val="24"/>
          <w:szCs w:val="24"/>
        </w:rPr>
        <w:t>2023年9-10月，本标准工作组查阅了苹果建园相关的国家标准、行业标准以及省级地方标准。目前无国家标准和行业标准。标准工作组收集了高光效开心树形的相关书籍和研究论文，还包括山西省近年来苹果生产方面的新成果和专利技术，包括</w:t>
      </w:r>
      <w:r>
        <w:rPr>
          <w:rFonts w:eastAsia="Times New Roman"/>
          <w:sz w:val="24"/>
          <w:szCs w:val="24"/>
        </w:rPr>
        <w:t>“</w:t>
      </w:r>
      <w:r>
        <w:rPr>
          <w:rFonts w:hint="eastAsia" w:ascii="宋体" w:hAnsi="宋体" w:cs="宋体"/>
          <w:sz w:val="24"/>
          <w:szCs w:val="24"/>
        </w:rPr>
        <w:t>苹果、梨树高干开心高光效树形</w:t>
      </w:r>
      <w:r>
        <w:rPr>
          <w:rFonts w:eastAsia="Times New Roman"/>
          <w:sz w:val="24"/>
          <w:szCs w:val="24"/>
        </w:rPr>
        <w:t>”</w:t>
      </w:r>
      <w:r>
        <w:rPr>
          <w:rFonts w:hint="eastAsia" w:ascii="宋体" w:hAnsi="宋体" w:cs="宋体"/>
          <w:sz w:val="24"/>
          <w:szCs w:val="24"/>
        </w:rPr>
        <w:t>和</w:t>
      </w:r>
      <w:r>
        <w:rPr>
          <w:rFonts w:eastAsia="Times New Roman"/>
          <w:sz w:val="24"/>
          <w:szCs w:val="24"/>
        </w:rPr>
        <w:t>“</w:t>
      </w:r>
      <w:r>
        <w:rPr>
          <w:rFonts w:hint="eastAsia" w:ascii="宋体" w:hAnsi="宋体" w:cs="宋体"/>
          <w:sz w:val="24"/>
          <w:szCs w:val="24"/>
        </w:rPr>
        <w:t>苹果、梨树中干开心高光效树形</w:t>
      </w:r>
      <w:r>
        <w:rPr>
          <w:rFonts w:eastAsia="Times New Roman"/>
          <w:sz w:val="24"/>
          <w:szCs w:val="24"/>
        </w:rPr>
        <w:t>”</w:t>
      </w:r>
      <w:r>
        <w:rPr>
          <w:rFonts w:hint="eastAsia" w:ascii="宋体" w:hAnsi="宋体" w:cs="宋体"/>
          <w:sz w:val="24"/>
          <w:szCs w:val="24"/>
        </w:rPr>
        <w:t>技术专利等。在广泛收集、分析、归纳与研究国内外相关技术资料和现有标准的基础上，项目组结合我省苹果乔化果园苹果树形的实际情况，以盛果期苹果树的树干高度、树体高度、主枝数量、主枝结构、侧生枝模式、长轴结果枝选留为基础，结合山西苹果生产的特点，并参考团队近些年来获得的研究结果，归纳总结了我省高光效开心树形生产中存在的问题并得出相应结论，为本标准修订提供实际参考。</w:t>
      </w:r>
    </w:p>
    <w:p>
      <w:pPr>
        <w:spacing w:line="400" w:lineRule="exact"/>
        <w:ind w:firstLine="480" w:firstLineChars="200"/>
        <w:rPr>
          <w:rFonts w:eastAsia="Times New Roman"/>
          <w:sz w:val="24"/>
          <w:szCs w:val="24"/>
        </w:rPr>
      </w:pPr>
      <w:r>
        <w:rPr>
          <w:rFonts w:eastAsia="Times New Roman"/>
          <w:sz w:val="24"/>
          <w:szCs w:val="24"/>
        </w:rPr>
        <w:t>4</w:t>
      </w:r>
      <w:r>
        <w:rPr>
          <w:rFonts w:hint="eastAsia" w:ascii="宋体" w:hAnsi="宋体" w:cs="宋体"/>
          <w:sz w:val="24"/>
          <w:szCs w:val="24"/>
        </w:rPr>
        <w:t>、修订文本</w:t>
      </w:r>
    </w:p>
    <w:p>
      <w:pPr>
        <w:spacing w:line="360" w:lineRule="auto"/>
        <w:ind w:firstLine="480" w:firstLineChars="200"/>
        <w:rPr>
          <w:rFonts w:eastAsia="Times New Roman"/>
          <w:sz w:val="24"/>
          <w:szCs w:val="24"/>
        </w:rPr>
      </w:pPr>
      <w:r>
        <w:rPr>
          <w:rFonts w:hint="eastAsia" w:ascii="宋体" w:hAnsi="宋体" w:cs="宋体"/>
          <w:sz w:val="24"/>
          <w:szCs w:val="24"/>
        </w:rPr>
        <w:t>工作组于</w:t>
      </w:r>
      <w:r>
        <w:rPr>
          <w:rFonts w:eastAsia="Times New Roman"/>
          <w:sz w:val="24"/>
          <w:szCs w:val="24"/>
        </w:rPr>
        <w:t>2023</w:t>
      </w:r>
      <w:r>
        <w:rPr>
          <w:rFonts w:hint="eastAsia" w:ascii="宋体" w:hAnsi="宋体" w:cs="宋体"/>
          <w:sz w:val="24"/>
          <w:szCs w:val="24"/>
        </w:rPr>
        <w:t>年</w:t>
      </w:r>
      <w:r>
        <w:rPr>
          <w:rFonts w:eastAsia="Times New Roman"/>
          <w:sz w:val="24"/>
          <w:szCs w:val="24"/>
        </w:rPr>
        <w:t>11-12</w:t>
      </w:r>
      <w:r>
        <w:rPr>
          <w:rFonts w:hint="eastAsia" w:ascii="宋体" w:hAnsi="宋体" w:cs="宋体"/>
          <w:sz w:val="24"/>
          <w:szCs w:val="24"/>
        </w:rPr>
        <w:t>月修订了</w:t>
      </w:r>
      <w:r>
        <w:rPr>
          <w:rFonts w:ascii="??_GB2312" w:hAnsi="宋体" w:eastAsia="Times New Roman"/>
          <w:sz w:val="24"/>
          <w:szCs w:val="24"/>
        </w:rPr>
        <w:t>《苹果高光效开心树形生产技术规程》</w:t>
      </w:r>
      <w:r>
        <w:rPr>
          <w:rFonts w:hint="eastAsia" w:ascii="宋体" w:hAnsi="宋体" w:cs="宋体"/>
          <w:sz w:val="24"/>
          <w:szCs w:val="24"/>
        </w:rPr>
        <w:t>的大纲，随后通过发放电子版文本材料、当面请教专家、生产一线的合作社、农户及果业技术部门面对面沟通交流技术等方式，完成了该标准文本的修订稿。发送“征求意见稿”的单位6个</w:t>
      </w:r>
      <w:r>
        <w:rPr>
          <w:rFonts w:hint="eastAsia" w:ascii="宋体" w:hAnsi="宋体" w:cs="宋体"/>
          <w:sz w:val="24"/>
          <w:szCs w:val="24"/>
          <w:lang w:eastAsia="zh-CN"/>
        </w:rPr>
        <w:t>，</w:t>
      </w:r>
      <w:r>
        <w:rPr>
          <w:rFonts w:hint="eastAsia" w:ascii="宋体" w:hAnsi="宋体" w:cs="宋体"/>
          <w:sz w:val="24"/>
          <w:szCs w:val="24"/>
        </w:rPr>
        <w:t>回函并提出意见的单位6个；没有回函的单位0个。收到征求意见8条，采纳8条。</w:t>
      </w:r>
    </w:p>
    <w:p>
      <w:pPr>
        <w:spacing w:line="360" w:lineRule="auto"/>
        <w:ind w:firstLine="480" w:firstLineChars="200"/>
        <w:rPr>
          <w:rFonts w:hint="default" w:ascii="宋体" w:hAnsi="宋体" w:eastAsia="宋体" w:cs="宋体"/>
          <w:sz w:val="24"/>
          <w:szCs w:val="24"/>
          <w:lang w:val="en-US" w:eastAsia="zh-CN"/>
        </w:rPr>
      </w:pPr>
      <w:r>
        <w:rPr>
          <w:rFonts w:hint="eastAsia" w:ascii="宋体" w:hAnsi="宋体" w:cs="宋体"/>
          <w:sz w:val="24"/>
          <w:szCs w:val="24"/>
        </w:rPr>
        <w:t>5、</w:t>
      </w:r>
      <w:r>
        <w:rPr>
          <w:rFonts w:hint="eastAsia" w:ascii="宋体" w:hAnsi="宋体" w:cs="宋体"/>
          <w:sz w:val="24"/>
          <w:szCs w:val="24"/>
          <w:lang w:val="en-US" w:eastAsia="zh-CN"/>
        </w:rPr>
        <w:t>标准审查</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2024年</w:t>
      </w:r>
      <w:r>
        <w:rPr>
          <w:rFonts w:hint="eastAsia" w:ascii="宋体" w:hAnsi="宋体" w:cs="宋体"/>
          <w:sz w:val="24"/>
          <w:szCs w:val="24"/>
          <w:lang w:val="en-US" w:eastAsia="zh-CN"/>
        </w:rPr>
        <w:t>3</w:t>
      </w:r>
      <w:r>
        <w:rPr>
          <w:rFonts w:hint="eastAsia" w:ascii="宋体" w:hAnsi="宋体" w:cs="宋体"/>
          <w:sz w:val="24"/>
          <w:szCs w:val="24"/>
        </w:rPr>
        <w:t>月</w:t>
      </w:r>
      <w:r>
        <w:rPr>
          <w:rFonts w:hint="eastAsia" w:ascii="宋体" w:hAnsi="宋体" w:cs="宋体"/>
          <w:sz w:val="24"/>
          <w:szCs w:val="24"/>
          <w:lang w:val="en-US" w:eastAsia="zh-CN"/>
        </w:rPr>
        <w:t>16</w:t>
      </w:r>
      <w:r>
        <w:rPr>
          <w:rFonts w:hint="eastAsia" w:ascii="宋体" w:hAnsi="宋体" w:cs="宋体"/>
          <w:sz w:val="24"/>
          <w:szCs w:val="24"/>
        </w:rPr>
        <w:t>日，在</w:t>
      </w:r>
      <w:r>
        <w:rPr>
          <w:rFonts w:hint="eastAsia" w:ascii="宋体" w:hAnsi="宋体" w:cs="宋体"/>
          <w:sz w:val="24"/>
          <w:szCs w:val="24"/>
          <w:lang w:val="en-US" w:eastAsia="zh-CN"/>
        </w:rPr>
        <w:t>山西农业大学龙城校区果树研究所二</w:t>
      </w:r>
      <w:r>
        <w:rPr>
          <w:rFonts w:hint="eastAsia" w:ascii="宋体" w:hAnsi="宋体" w:cs="宋体"/>
          <w:sz w:val="24"/>
          <w:szCs w:val="24"/>
        </w:rPr>
        <w:t>层会议室，与会专家听取了起草单位对《矮化苹果整形修剪技术规程》的修订情况汇报，并对标准送审稿和编制说明进行了</w:t>
      </w:r>
      <w:r>
        <w:rPr>
          <w:rFonts w:hint="eastAsia" w:ascii="宋体" w:hAnsi="宋体" w:cs="宋体"/>
          <w:sz w:val="24"/>
          <w:szCs w:val="24"/>
          <w:lang w:val="en-US" w:eastAsia="zh-CN"/>
        </w:rPr>
        <w:t>标准审查</w:t>
      </w:r>
      <w:r>
        <w:rPr>
          <w:rFonts w:hint="eastAsia" w:ascii="宋体" w:hAnsi="宋体" w:cs="宋体"/>
          <w:sz w:val="24"/>
          <w:szCs w:val="24"/>
        </w:rPr>
        <w:t>。</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专家组同意通过</w:t>
      </w:r>
      <w:bookmarkStart w:id="0" w:name="_GoBack"/>
      <w:bookmarkEnd w:id="0"/>
      <w:r>
        <w:rPr>
          <w:rFonts w:hint="eastAsia" w:ascii="宋体" w:hAnsi="宋体" w:cs="宋体"/>
          <w:sz w:val="24"/>
          <w:szCs w:val="24"/>
        </w:rPr>
        <w:t>技术评审，起草单位按照专家组意见修改完善，形成报批稿。</w:t>
      </w:r>
    </w:p>
    <w:p>
      <w:pPr>
        <w:spacing w:line="360" w:lineRule="auto"/>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6、征求意见</w:t>
      </w:r>
    </w:p>
    <w:p>
      <w:pPr>
        <w:spacing w:line="360" w:lineRule="auto"/>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2024年XX月XX日，报省市场监督管理局挂网向社会公开征求意见30天。</w:t>
      </w:r>
    </w:p>
    <w:p>
      <w:pPr>
        <w:spacing w:line="360" w:lineRule="auto"/>
        <w:ind w:firstLine="480" w:firstLineChars="200"/>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7、完善文本</w:t>
      </w:r>
    </w:p>
    <w:p>
      <w:pPr>
        <w:spacing w:line="360" w:lineRule="auto"/>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进一步修改完善后形成标准送审稿，标委会表决通过，形成报批稿、提交报批材料。</w:t>
      </w:r>
    </w:p>
    <w:p>
      <w:pPr>
        <w:spacing w:line="400" w:lineRule="exact"/>
        <w:ind w:firstLine="480" w:firstLineChars="200"/>
        <w:rPr>
          <w:rFonts w:eastAsia="Times New Roman"/>
          <w:sz w:val="24"/>
          <w:szCs w:val="24"/>
        </w:rPr>
      </w:pPr>
    </w:p>
    <w:p>
      <w:pPr>
        <w:spacing w:line="360" w:lineRule="auto"/>
        <w:ind w:firstLine="480" w:firstLineChars="200"/>
        <w:outlineLvl w:val="0"/>
        <w:rPr>
          <w:rFonts w:ascii="黑体" w:eastAsia="黑体"/>
          <w:sz w:val="24"/>
          <w:szCs w:val="24"/>
        </w:rPr>
      </w:pPr>
      <w:r>
        <w:rPr>
          <w:rFonts w:hint="eastAsia" w:ascii="黑体" w:eastAsia="黑体" w:cs="黑体"/>
          <w:sz w:val="24"/>
          <w:szCs w:val="24"/>
        </w:rPr>
        <w:t>四、修订标准的原则和依据，与现行法律、法规、标准的关系</w:t>
      </w:r>
    </w:p>
    <w:p>
      <w:pPr>
        <w:spacing w:line="360" w:lineRule="auto"/>
        <w:ind w:firstLine="480" w:firstLineChars="200"/>
        <w:jc w:val="left"/>
        <w:rPr>
          <w:rFonts w:hint="eastAsia" w:ascii="??_GB2312" w:hAnsi="宋体" w:eastAsia="Times New Roman"/>
          <w:sz w:val="24"/>
          <w:szCs w:val="24"/>
        </w:rPr>
      </w:pPr>
      <w:r>
        <w:rPr>
          <w:rFonts w:hint="eastAsia" w:ascii="??_GB2312" w:hAnsi="宋体" w:eastAsia="Times New Roman"/>
          <w:sz w:val="24"/>
          <w:szCs w:val="24"/>
        </w:rPr>
        <w:t>本标准严格按照《中华人民共和国标准法》、《中华人民共和国农业法》、《中华人民共和国农业技术推广法》等有关法律和质量技术监督局《农业标准化管理办法》、山西省地方标准《技术审查工作规范》等规章执行。本标准根据GB/T 1.1—2020《标准化工作导则  第1部分：标准化文件的结构和起草规则》的规定起草，内容和要求参照了相关法律规则，引用了现行的国家标准和行业标准，与现行法律、法规及强制标准没有冲突。</w:t>
      </w:r>
    </w:p>
    <w:p>
      <w:pPr>
        <w:spacing w:line="360" w:lineRule="auto"/>
        <w:ind w:firstLine="480" w:firstLineChars="200"/>
        <w:jc w:val="left"/>
        <w:rPr>
          <w:rFonts w:hint="eastAsia" w:ascii="??_GB2312" w:hAnsi="宋体" w:eastAsia="Times New Roman"/>
          <w:sz w:val="24"/>
          <w:szCs w:val="24"/>
        </w:rPr>
      </w:pPr>
      <w:r>
        <w:rPr>
          <w:rFonts w:hint="eastAsia" w:ascii="??_GB2312" w:hAnsi="宋体" w:eastAsia="Times New Roman"/>
          <w:sz w:val="24"/>
          <w:szCs w:val="24"/>
        </w:rPr>
        <w:t>本标准坚持先进性、科学性和实用性统一。制定过程中，一方面认真学习、参考和借鉴国家和地方标准的相关内容，同时积极借鉴了山西省农业科学院苹果高光效开心树形的研究成果及本省苹果开心树形整形修剪的实际经验，形成了理论与实际相结合的技术规程。</w:t>
      </w:r>
    </w:p>
    <w:p>
      <w:pPr>
        <w:spacing w:line="360" w:lineRule="auto"/>
        <w:ind w:firstLine="480" w:firstLineChars="200"/>
        <w:outlineLvl w:val="0"/>
        <w:rPr>
          <w:rFonts w:ascii="黑体" w:eastAsia="黑体"/>
          <w:sz w:val="24"/>
          <w:szCs w:val="24"/>
        </w:rPr>
      </w:pPr>
      <w:r>
        <w:rPr>
          <w:rFonts w:hint="eastAsia" w:ascii="黑体" w:eastAsia="黑体" w:cs="黑体"/>
          <w:sz w:val="24"/>
          <w:szCs w:val="24"/>
        </w:rPr>
        <w:t>五、主要条款的说明，主要技术指标、参数、试验验证的分析、综合论述</w:t>
      </w:r>
    </w:p>
    <w:p>
      <w:pPr>
        <w:spacing w:line="360" w:lineRule="auto"/>
        <w:ind w:firstLine="480" w:firstLineChars="200"/>
        <w:jc w:val="left"/>
        <w:rPr>
          <w:rFonts w:hint="eastAsia" w:ascii="??_GB2312" w:hAnsi="宋体" w:eastAsia="Times New Roman"/>
          <w:sz w:val="24"/>
          <w:szCs w:val="24"/>
        </w:rPr>
      </w:pPr>
      <w:r>
        <w:rPr>
          <w:rFonts w:hint="eastAsia" w:ascii="??_GB2312" w:hAnsi="宋体" w:eastAsia="Times New Roman"/>
          <w:sz w:val="24"/>
          <w:szCs w:val="24"/>
        </w:rPr>
        <w:t>标准起草组以“合法性、安全性、适应性、协调性和先进性”为修订原则，以文本结构更加合理、表述更加准确、技术指标更加科学为修订目标，从三个方面对文本进行了修订，其中：</w:t>
      </w:r>
    </w:p>
    <w:p>
      <w:pPr>
        <w:spacing w:line="360" w:lineRule="auto"/>
        <w:ind w:firstLine="480" w:firstLineChars="200"/>
        <w:jc w:val="left"/>
        <w:rPr>
          <w:rFonts w:hint="eastAsia" w:ascii="??_GB2312" w:hAnsi="宋体" w:eastAsia="Times New Roman"/>
          <w:sz w:val="24"/>
          <w:szCs w:val="24"/>
        </w:rPr>
      </w:pPr>
      <w:r>
        <w:rPr>
          <w:rFonts w:hint="eastAsia" w:ascii="??_GB2312" w:hAnsi="宋体" w:eastAsia="Times New Roman"/>
          <w:sz w:val="24"/>
          <w:szCs w:val="24"/>
        </w:rPr>
        <w:t>1、涉及结构性调整的主要有</w:t>
      </w:r>
      <w:r>
        <w:rPr>
          <w:rFonts w:hint="eastAsia" w:ascii="??_GB2312" w:hAnsi="宋体" w:eastAsia="Times New Roman"/>
          <w:sz w:val="24"/>
          <w:szCs w:val="24"/>
          <w:lang w:val="en-US" w:eastAsia="zh-CN"/>
        </w:rPr>
        <w:t>3</w:t>
      </w:r>
      <w:r>
        <w:rPr>
          <w:rFonts w:hint="eastAsia" w:ascii="??_GB2312" w:hAnsi="宋体" w:eastAsia="Times New Roman"/>
          <w:sz w:val="24"/>
          <w:szCs w:val="24"/>
        </w:rPr>
        <w:t>项：</w:t>
      </w:r>
    </w:p>
    <w:p>
      <w:pPr>
        <w:spacing w:line="360" w:lineRule="auto"/>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更改了标准名称“</w:t>
      </w:r>
      <w:r>
        <w:rPr>
          <w:rFonts w:hint="eastAsia" w:asciiTheme="minorEastAsia" w:hAnsiTheme="minorEastAsia" w:eastAsiaTheme="minorEastAsia" w:cstheme="minorEastAsia"/>
          <w:sz w:val="24"/>
          <w:szCs w:val="24"/>
        </w:rPr>
        <w:t>苹果开心树形整形修剪技术规程</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，修订原因：</w:t>
      </w:r>
      <w:r>
        <w:rPr>
          <w:rFonts w:hint="eastAsia" w:asciiTheme="minorEastAsia" w:hAnsiTheme="minorEastAsia" w:eastAsiaTheme="minorEastAsia" w:cstheme="minorEastAsia"/>
          <w:sz w:val="24"/>
          <w:szCs w:val="24"/>
          <w:lang w:val="en-US" w:eastAsia="zh-CN"/>
        </w:rPr>
        <w:t>2018版标准名称为“苹果高光效开心树形生产技术规程”，修改后，更贴切本标准的技术内容主题。</w:t>
      </w:r>
    </w:p>
    <w:p>
      <w:pPr>
        <w:spacing w:line="360" w:lineRule="auto"/>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（2）删除了 “文件的术语和定义”中 “低干开心树形”、“中干开心树形”、“高干开心树形”、“提干”、“落头”的内容，修订原因：删除不必要的名词解释，内容更精炼，但不影响对本标准技术内容的理解。</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（3）删除了“花果管理”“土肥管理”</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病虫害防治</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附录B”表B.2的内容</w:t>
      </w:r>
      <w:r>
        <w:rPr>
          <w:rFonts w:hint="eastAsia" w:asciiTheme="minorEastAsia" w:hAnsiTheme="minorEastAsia" w:eastAsiaTheme="minorEastAsia" w:cstheme="minorEastAsia"/>
          <w:sz w:val="24"/>
          <w:szCs w:val="24"/>
        </w:rPr>
        <w:t>；修订原因：本标准主要针对</w:t>
      </w:r>
      <w:r>
        <w:rPr>
          <w:rFonts w:hint="eastAsia" w:asciiTheme="minorEastAsia" w:hAnsiTheme="minorEastAsia" w:eastAsiaTheme="minorEastAsia" w:cstheme="minorEastAsia"/>
          <w:sz w:val="24"/>
          <w:szCs w:val="24"/>
          <w:lang w:val="en-US" w:eastAsia="zh-CN"/>
        </w:rPr>
        <w:t>整形修剪内容进行阐述，删除非必要相关的技术内容与生产农事记录，简化标准，突出标准整形修剪主题内容，配套技术内容可参考其他同类型地方标准执行，提高实际可操作性</w:t>
      </w:r>
      <w:r>
        <w:rPr>
          <w:rFonts w:hint="eastAsia" w:asciiTheme="minorEastAsia" w:hAnsiTheme="minorEastAsia" w:eastAsiaTheme="minorEastAsia" w:cstheme="minorEastAsia"/>
          <w:sz w:val="24"/>
          <w:szCs w:val="24"/>
        </w:rPr>
        <w:t>。</w:t>
      </w:r>
    </w:p>
    <w:p>
      <w:pPr>
        <w:spacing w:line="360" w:lineRule="auto"/>
        <w:ind w:firstLine="480" w:firstLineChars="200"/>
        <w:jc w:val="left"/>
        <w:rPr>
          <w:rFonts w:hint="eastAsia" w:ascii="??_GB2312" w:hAnsi="宋体" w:eastAsia="Times New Roman"/>
          <w:sz w:val="24"/>
          <w:szCs w:val="24"/>
        </w:rPr>
      </w:pPr>
      <w:r>
        <w:rPr>
          <w:rFonts w:hint="eastAsia" w:ascii="??_GB2312" w:hAnsi="宋体" w:eastAsia="Times New Roman"/>
          <w:sz w:val="24"/>
          <w:szCs w:val="24"/>
        </w:rPr>
        <w:t>2、涉及表述与编辑性修改的主要有5项：</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（1）更改了“</w:t>
      </w:r>
      <w:r>
        <w:rPr>
          <w:rFonts w:hint="eastAsia" w:asciiTheme="minorEastAsia" w:hAnsiTheme="minorEastAsia" w:eastAsiaTheme="minorEastAsia" w:cstheme="minorEastAsia"/>
          <w:sz w:val="24"/>
          <w:szCs w:val="24"/>
          <w:lang w:val="en-US" w:eastAsia="zh-CN"/>
        </w:rPr>
        <w:t>术语和定义</w:t>
      </w:r>
      <w:r>
        <w:rPr>
          <w:rFonts w:hint="eastAsia" w:asciiTheme="minorEastAsia" w:hAnsiTheme="minorEastAsia" w:eastAsiaTheme="minorEastAsia" w:cstheme="minorEastAsia"/>
          <w:sz w:val="24"/>
          <w:szCs w:val="24"/>
        </w:rPr>
        <w:t>”的</w:t>
      </w:r>
      <w:r>
        <w:rPr>
          <w:rFonts w:hint="eastAsia" w:asciiTheme="minorEastAsia" w:hAnsiTheme="minorEastAsia" w:eastAsiaTheme="minorEastAsia" w:cstheme="minorEastAsia"/>
          <w:sz w:val="24"/>
          <w:szCs w:val="24"/>
          <w:lang w:val="en-US" w:eastAsia="zh-CN"/>
        </w:rPr>
        <w:t>表述</w:t>
      </w:r>
      <w:r>
        <w:rPr>
          <w:rFonts w:hint="eastAsia" w:asciiTheme="minorEastAsia" w:hAnsiTheme="minorEastAsia" w:eastAsiaTheme="minorEastAsia" w:cstheme="minorEastAsia"/>
          <w:sz w:val="24"/>
          <w:szCs w:val="24"/>
        </w:rPr>
        <w:t>内容， 修订原因：修改了部分词语表述，语言更加规范。</w:t>
      </w:r>
    </w:p>
    <w:p>
      <w:pPr>
        <w:spacing w:line="360" w:lineRule="auto"/>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2）更改“产地环境条件”表述内容，修订原因：修改为“适宜环境”更符合技术内容。</w:t>
      </w:r>
    </w:p>
    <w:p>
      <w:pPr>
        <w:spacing w:line="360" w:lineRule="auto"/>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（3）更改了“适宜砧木”表述内容，修订原因：修改为“砧木类型”更符合技术内容。</w:t>
      </w:r>
    </w:p>
    <w:p>
      <w:pPr>
        <w:spacing w:line="360" w:lineRule="auto"/>
        <w:ind w:firstLine="480" w:firstLineChars="200"/>
        <w:jc w:val="left"/>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（4）更改了“幼树期整形修剪”、“初果期整形修剪”、“盛果期整形修剪”、“盛果后期整形修剪”中“一般要求”表述内容，修订原因：修改部分词语、语句表述，内容更精炼。</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）更改了“</w:t>
      </w:r>
      <w:r>
        <w:rPr>
          <w:rFonts w:hint="eastAsia" w:asciiTheme="minorEastAsia" w:hAnsiTheme="minorEastAsia" w:eastAsiaTheme="minorEastAsia" w:cstheme="minorEastAsia"/>
          <w:sz w:val="24"/>
          <w:szCs w:val="24"/>
          <w:lang w:val="en-US" w:eastAsia="zh-CN"/>
        </w:rPr>
        <w:t>果园间伐技术</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表述</w:t>
      </w:r>
      <w:r>
        <w:rPr>
          <w:rFonts w:hint="eastAsia" w:asciiTheme="minorEastAsia" w:hAnsiTheme="minorEastAsia" w:eastAsiaTheme="minorEastAsia" w:cstheme="minorEastAsia"/>
          <w:sz w:val="24"/>
          <w:szCs w:val="24"/>
        </w:rPr>
        <w:t>内容，修订原因：修改</w:t>
      </w:r>
      <w:r>
        <w:rPr>
          <w:rFonts w:hint="eastAsia" w:asciiTheme="minorEastAsia" w:hAnsiTheme="minorEastAsia" w:eastAsiaTheme="minorEastAsia" w:cstheme="minorEastAsia"/>
          <w:sz w:val="24"/>
          <w:szCs w:val="24"/>
          <w:lang w:val="en-US" w:eastAsia="zh-CN"/>
        </w:rPr>
        <w:t>为“间伐要求”更符合技术内容</w:t>
      </w:r>
      <w:r>
        <w:rPr>
          <w:rFonts w:hint="eastAsia" w:asciiTheme="minorEastAsia" w:hAnsiTheme="minorEastAsia" w:eastAsiaTheme="minorEastAsia" w:cstheme="minorEastAsia"/>
          <w:sz w:val="24"/>
          <w:szCs w:val="24"/>
        </w:rPr>
        <w:t>。</w:t>
      </w:r>
    </w:p>
    <w:p>
      <w:pPr>
        <w:spacing w:line="360" w:lineRule="auto"/>
        <w:ind w:firstLine="480" w:firstLineChars="200"/>
        <w:jc w:val="left"/>
        <w:rPr>
          <w:rFonts w:hint="eastAsia" w:ascii="??_GB2312" w:hAnsi="宋体" w:eastAsia="宋体"/>
          <w:sz w:val="24"/>
          <w:szCs w:val="24"/>
          <w:lang w:eastAsia="zh-CN"/>
        </w:rPr>
      </w:pPr>
      <w:r>
        <w:rPr>
          <w:rFonts w:hint="eastAsia" w:ascii="??_GB2312" w:hAnsi="宋体" w:eastAsia="Times New Roman"/>
          <w:sz w:val="24"/>
          <w:szCs w:val="24"/>
        </w:rPr>
        <w:t>3、涉及到的技术指标修改</w:t>
      </w:r>
      <w:r>
        <w:rPr>
          <w:rFonts w:hint="eastAsia" w:ascii="??_GB2312" w:hAnsi="宋体"/>
          <w:sz w:val="24"/>
          <w:szCs w:val="24"/>
          <w:lang w:val="en-US" w:eastAsia="zh-CN"/>
        </w:rPr>
        <w:t>有1项</w:t>
      </w:r>
      <w:r>
        <w:rPr>
          <w:rFonts w:hint="eastAsia" w:ascii="??_GB2312" w:hAnsi="宋体"/>
          <w:sz w:val="24"/>
          <w:szCs w:val="24"/>
          <w:lang w:eastAsia="zh-CN"/>
        </w:rPr>
        <w:t>：</w:t>
      </w:r>
    </w:p>
    <w:p>
      <w:pPr>
        <w:spacing w:line="360" w:lineRule="auto"/>
        <w:ind w:firstLine="480" w:firstLineChars="200"/>
        <w:jc w:val="left"/>
        <w:rPr>
          <w:rFonts w:hint="default" w:ascii="??_GB2312" w:hAnsi="宋体" w:eastAsia="宋体"/>
          <w:sz w:val="24"/>
          <w:szCs w:val="24"/>
          <w:lang w:val="en-US" w:eastAsia="zh-CN"/>
        </w:rPr>
      </w:pPr>
      <w:r>
        <w:rPr>
          <w:rFonts w:hint="eastAsia" w:ascii="??_GB2312" w:hAnsi="宋体" w:eastAsia="Times New Roman"/>
          <w:sz w:val="24"/>
          <w:szCs w:val="24"/>
          <w:lang w:eastAsia="zh-CN"/>
        </w:rPr>
        <w:t>（</w:t>
      </w:r>
      <w:r>
        <w:rPr>
          <w:rFonts w:hint="eastAsia" w:ascii="??_GB2312" w:hAnsi="宋体" w:eastAsia="Times New Roman"/>
          <w:sz w:val="24"/>
          <w:szCs w:val="24"/>
          <w:lang w:val="en-US" w:eastAsia="zh-CN"/>
        </w:rPr>
        <w:t>1</w:t>
      </w:r>
      <w:r>
        <w:rPr>
          <w:rFonts w:hint="eastAsia" w:ascii="??_GB2312" w:hAnsi="宋体" w:eastAsia="Times New Roman"/>
          <w:sz w:val="24"/>
          <w:szCs w:val="24"/>
          <w:lang w:eastAsia="zh-CN"/>
        </w:rPr>
        <w:t>）</w:t>
      </w:r>
      <w:r>
        <w:rPr>
          <w:rFonts w:hint="eastAsia" w:ascii="??_GB2312" w:hAnsi="宋体" w:eastAsia="Times New Roman"/>
          <w:sz w:val="24"/>
          <w:szCs w:val="24"/>
          <w:lang w:val="en-US" w:eastAsia="zh-CN"/>
        </w:rPr>
        <w:t>补充了第8章、第9章中干高、树高技术指标内容，</w:t>
      </w:r>
      <w:r>
        <w:rPr>
          <w:rFonts w:hint="eastAsia" w:ascii="??_GB2312" w:hAnsi="宋体" w:eastAsia="Times New Roman"/>
          <w:sz w:val="24"/>
          <w:szCs w:val="24"/>
        </w:rPr>
        <w:t>修订原因：</w:t>
      </w:r>
      <w:r>
        <w:rPr>
          <w:rFonts w:hint="eastAsia" w:ascii="??_GB2312" w:hAnsi="宋体"/>
          <w:sz w:val="24"/>
          <w:szCs w:val="24"/>
          <w:lang w:val="en-US" w:eastAsia="zh-CN"/>
        </w:rPr>
        <w:t>指标指修改为范围数值，更加准确。</w:t>
      </w:r>
    </w:p>
    <w:p>
      <w:pPr>
        <w:spacing w:line="360" w:lineRule="auto"/>
        <w:ind w:firstLine="480" w:firstLineChars="200"/>
        <w:jc w:val="left"/>
        <w:rPr>
          <w:rFonts w:hint="eastAsia" w:ascii="??_GB2312" w:hAnsi="宋体" w:eastAsia="Times New Roman"/>
          <w:sz w:val="24"/>
          <w:szCs w:val="24"/>
        </w:rPr>
      </w:pPr>
      <w:r>
        <w:rPr>
          <w:rFonts w:hint="default" w:ascii="??_GB2312" w:hAnsi="宋体" w:eastAsia="Times New Roman"/>
          <w:sz w:val="24"/>
          <w:szCs w:val="24"/>
        </w:rPr>
        <w:t>①</w:t>
      </w:r>
      <w:r>
        <w:rPr>
          <w:rFonts w:hint="eastAsia" w:ascii="??_GB2312" w:hAnsi="宋体" w:eastAsia="Times New Roman"/>
          <w:sz w:val="24"/>
          <w:szCs w:val="24"/>
        </w:rPr>
        <w:t>确定依据</w:t>
      </w:r>
    </w:p>
    <w:p>
      <w:pPr>
        <w:spacing w:line="360" w:lineRule="auto"/>
        <w:ind w:firstLine="480" w:firstLineChars="200"/>
        <w:jc w:val="left"/>
        <w:rPr>
          <w:rFonts w:hint="eastAsia" w:ascii="??_GB2312" w:hAnsi="宋体" w:eastAsia="Times New Roman"/>
          <w:sz w:val="24"/>
          <w:szCs w:val="24"/>
        </w:rPr>
      </w:pPr>
      <w:r>
        <w:rPr>
          <w:rFonts w:hint="eastAsia" w:ascii="??_GB2312" w:hAnsi="宋体" w:eastAsia="Times New Roman"/>
          <w:sz w:val="24"/>
          <w:szCs w:val="24"/>
        </w:rPr>
        <w:t>不同树形模式为OH（高干开心形）、OM（中干开心形）、OL（低干开心形）3个处理及对照SC（小冠疏层形），试验测评每个处理3次重复，通过比较不同树形模式对高光效树形处理产量构成因素和品质构成因素分析来完成。</w:t>
      </w:r>
    </w:p>
    <w:p>
      <w:pPr>
        <w:spacing w:line="360" w:lineRule="auto"/>
        <w:ind w:firstLine="480" w:firstLineChars="200"/>
        <w:jc w:val="left"/>
        <w:rPr>
          <w:rFonts w:hint="eastAsia" w:ascii="??_GB2312" w:hAnsi="宋体" w:eastAsia="Times New Roman"/>
          <w:sz w:val="24"/>
          <w:szCs w:val="24"/>
        </w:rPr>
      </w:pPr>
      <w:r>
        <w:rPr>
          <w:rFonts w:hint="eastAsia" w:ascii="??_GB2312" w:hAnsi="宋体" w:eastAsia="Times New Roman"/>
          <w:sz w:val="24"/>
          <w:szCs w:val="24"/>
        </w:rPr>
        <w:t>平均叶面积以OH（高干开心形）、OM（中干开心形）、OL（低干开心形）叶幕处理较高，但与SC（圆头疏层形，对照）型叶幕差异不显著；而到结果期期和盛果期，OH、OM、OL型叶幕显著高于SC型叶幕。其结果可能归因于良好的微区光环境对叶片营养输导及叶绿素发育的诱导作用，并与前文叶片光合速率提高的试验结果相吻合。</w:t>
      </w:r>
    </w:p>
    <w:p>
      <w:pPr>
        <w:spacing w:line="400" w:lineRule="exact"/>
        <w:jc w:val="center"/>
        <w:rPr>
          <w:rFonts w:ascii="宋体" w:cs="宋体"/>
          <w:sz w:val="24"/>
          <w:szCs w:val="24"/>
        </w:rPr>
      </w:pPr>
      <w:r>
        <w:rPr>
          <w:rFonts w:hint="eastAsia" w:ascii="宋体" w:hAnsi="宋体" w:cs="宋体"/>
          <w:sz w:val="24"/>
          <w:szCs w:val="24"/>
        </w:rPr>
        <w:t>表</w:t>
      </w:r>
      <w:r>
        <w:rPr>
          <w:rFonts w:ascii="宋体" w:hAnsi="宋体" w:cs="宋体"/>
          <w:sz w:val="24"/>
          <w:szCs w:val="24"/>
        </w:rPr>
        <w:t xml:space="preserve">2  </w:t>
      </w:r>
      <w:r>
        <w:rPr>
          <w:rFonts w:hint="eastAsia" w:ascii="宋体" w:hAnsi="宋体" w:cs="宋体"/>
          <w:sz w:val="24"/>
          <w:szCs w:val="24"/>
        </w:rPr>
        <w:t>苹果四种树形模式的枝叶生长与产量构成因子分析</w:t>
      </w:r>
    </w:p>
    <w:tbl>
      <w:tblPr>
        <w:tblStyle w:val="11"/>
        <w:tblW w:w="8513" w:type="dxa"/>
        <w:tblInd w:w="-106"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2775"/>
        <w:gridCol w:w="922"/>
        <w:gridCol w:w="1332"/>
        <w:gridCol w:w="1230"/>
        <w:gridCol w:w="1127"/>
        <w:gridCol w:w="1127"/>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483" w:hRule="atLeast"/>
        </w:trPr>
        <w:tc>
          <w:tcPr>
            <w:tcW w:w="2775" w:type="dxa"/>
            <w:tcBorders>
              <w:top w:val="single" w:color="4F6228" w:sz="18" w:space="0"/>
              <w:bottom w:val="single" w:color="4F6228" w:sz="12" w:space="0"/>
            </w:tcBorders>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cs="宋体"/>
                <w:sz w:val="18"/>
                <w:szCs w:val="18"/>
              </w:rPr>
              <w:t>树形模式</w:t>
            </w:r>
            <w:r>
              <w:rPr>
                <w:rFonts w:hint="default"/>
                <w:sz w:val="18"/>
                <w:szCs w:val="18"/>
              </w:rPr>
              <w:t>Training systems</w:t>
            </w:r>
          </w:p>
        </w:tc>
        <w:tc>
          <w:tcPr>
            <w:tcW w:w="922" w:type="dxa"/>
            <w:tcBorders>
              <w:top w:val="single" w:color="4F6228" w:sz="18" w:space="0"/>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p>
        </w:tc>
        <w:tc>
          <w:tcPr>
            <w:tcW w:w="1332" w:type="dxa"/>
            <w:tcBorders>
              <w:top w:val="single" w:color="4F6228" w:sz="18" w:space="0"/>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OH</w:t>
            </w:r>
          </w:p>
        </w:tc>
        <w:tc>
          <w:tcPr>
            <w:tcW w:w="1230" w:type="dxa"/>
            <w:tcBorders>
              <w:top w:val="single" w:color="4F6228" w:sz="18" w:space="0"/>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OM</w:t>
            </w:r>
          </w:p>
        </w:tc>
        <w:tc>
          <w:tcPr>
            <w:tcW w:w="1127" w:type="dxa"/>
            <w:tcBorders>
              <w:top w:val="single" w:color="4F6228" w:sz="18" w:space="0"/>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OL</w:t>
            </w:r>
          </w:p>
        </w:tc>
        <w:tc>
          <w:tcPr>
            <w:tcW w:w="1127" w:type="dxa"/>
            <w:tcBorders>
              <w:top w:val="single" w:color="4F6228" w:sz="18" w:space="0"/>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SC</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restart"/>
            <w:tcBorders>
              <w:top w:val="single" w:color="4F6228" w:sz="12" w:space="0"/>
              <w:left w:val="nil"/>
            </w:tcBorders>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cs="宋体"/>
                <w:sz w:val="18"/>
                <w:szCs w:val="18"/>
              </w:rPr>
              <w:t>单叶叶面积</w:t>
            </w:r>
          </w:p>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Leaf area per leaf (cm</w:t>
            </w:r>
            <w:r>
              <w:rPr>
                <w:rFonts w:hint="default"/>
                <w:sz w:val="18"/>
                <w:szCs w:val="18"/>
                <w:vertAlign w:val="superscript"/>
              </w:rPr>
              <w:t>2</w:t>
            </w:r>
            <w:r>
              <w:rPr>
                <w:rFonts w:hint="default"/>
                <w:sz w:val="18"/>
                <w:szCs w:val="18"/>
              </w:rPr>
              <w:t>)</w:t>
            </w:r>
          </w:p>
        </w:tc>
        <w:tc>
          <w:tcPr>
            <w:tcW w:w="922"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2001</w:t>
            </w:r>
          </w:p>
        </w:tc>
        <w:tc>
          <w:tcPr>
            <w:tcW w:w="1332"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31.8 a</w:t>
            </w:r>
          </w:p>
        </w:tc>
        <w:tc>
          <w:tcPr>
            <w:tcW w:w="1230"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31.4 a</w:t>
            </w:r>
          </w:p>
        </w:tc>
        <w:tc>
          <w:tcPr>
            <w:tcW w:w="1127"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30.9 a</w:t>
            </w:r>
          </w:p>
        </w:tc>
        <w:tc>
          <w:tcPr>
            <w:tcW w:w="1127"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29.5 a</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continue"/>
            <w:vAlign w:val="center"/>
          </w:tcPr>
          <w:p>
            <w:pPr>
              <w:keepNext w:val="0"/>
              <w:keepLines w:val="0"/>
              <w:suppressLineNumbers w:val="0"/>
              <w:spacing w:before="0" w:beforeAutospacing="0" w:after="0" w:afterAutospacing="0"/>
              <w:ind w:left="0" w:right="0"/>
              <w:jc w:val="center"/>
              <w:rPr>
                <w:rFonts w:hint="default"/>
                <w:sz w:val="18"/>
                <w:szCs w:val="18"/>
              </w:rPr>
            </w:pPr>
          </w:p>
        </w:tc>
        <w:tc>
          <w:tcPr>
            <w:tcW w:w="922"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2011</w:t>
            </w:r>
          </w:p>
        </w:tc>
        <w:tc>
          <w:tcPr>
            <w:tcW w:w="1332"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30.7a</w:t>
            </w:r>
          </w:p>
        </w:tc>
        <w:tc>
          <w:tcPr>
            <w:tcW w:w="1230"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31.0a</w:t>
            </w:r>
          </w:p>
        </w:tc>
        <w:tc>
          <w:tcPr>
            <w:tcW w:w="1127"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29.4.a</w:t>
            </w:r>
          </w:p>
        </w:tc>
        <w:tc>
          <w:tcPr>
            <w:tcW w:w="1127"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28.6b</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continue"/>
            <w:tcBorders>
              <w:bottom w:val="single" w:color="4F6228" w:sz="12" w:space="0"/>
            </w:tcBorders>
            <w:vAlign w:val="center"/>
          </w:tcPr>
          <w:p>
            <w:pPr>
              <w:keepNext w:val="0"/>
              <w:keepLines w:val="0"/>
              <w:suppressLineNumbers w:val="0"/>
              <w:spacing w:before="0" w:beforeAutospacing="0" w:after="0" w:afterAutospacing="0"/>
              <w:ind w:left="0" w:right="0"/>
              <w:jc w:val="center"/>
              <w:rPr>
                <w:rFonts w:hint="default"/>
                <w:sz w:val="18"/>
                <w:szCs w:val="18"/>
              </w:rPr>
            </w:pPr>
          </w:p>
        </w:tc>
        <w:tc>
          <w:tcPr>
            <w:tcW w:w="922"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2021</w:t>
            </w:r>
          </w:p>
        </w:tc>
        <w:tc>
          <w:tcPr>
            <w:tcW w:w="1332"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31.1a</w:t>
            </w:r>
          </w:p>
        </w:tc>
        <w:tc>
          <w:tcPr>
            <w:tcW w:w="1230"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30.5 a</w:t>
            </w:r>
          </w:p>
        </w:tc>
        <w:tc>
          <w:tcPr>
            <w:tcW w:w="1127"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27.7 ab</w:t>
            </w:r>
          </w:p>
        </w:tc>
        <w:tc>
          <w:tcPr>
            <w:tcW w:w="1127"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25.6b</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restart"/>
            <w:tcBorders>
              <w:top w:val="single" w:color="4F6228" w:sz="12" w:space="0"/>
            </w:tcBorders>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cs="宋体"/>
                <w:sz w:val="18"/>
                <w:szCs w:val="18"/>
              </w:rPr>
              <w:t>叶片叶绿素</w:t>
            </w:r>
          </w:p>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chlorophyll (mg·g</w:t>
            </w:r>
            <w:r>
              <w:rPr>
                <w:rFonts w:hint="default"/>
                <w:sz w:val="18"/>
                <w:szCs w:val="18"/>
                <w:vertAlign w:val="superscript"/>
              </w:rPr>
              <w:t>-1</w:t>
            </w:r>
            <w:r>
              <w:rPr>
                <w:rFonts w:hint="default"/>
                <w:sz w:val="18"/>
                <w:szCs w:val="18"/>
              </w:rPr>
              <w:t>,fresh wt)</w:t>
            </w:r>
          </w:p>
        </w:tc>
        <w:tc>
          <w:tcPr>
            <w:tcW w:w="922"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2001</w:t>
            </w:r>
          </w:p>
        </w:tc>
        <w:tc>
          <w:tcPr>
            <w:tcW w:w="1332"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1.79 a</w:t>
            </w:r>
          </w:p>
        </w:tc>
        <w:tc>
          <w:tcPr>
            <w:tcW w:w="1230"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1.76 a</w:t>
            </w:r>
          </w:p>
        </w:tc>
        <w:tc>
          <w:tcPr>
            <w:tcW w:w="1127"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1.74 a</w:t>
            </w:r>
          </w:p>
        </w:tc>
        <w:tc>
          <w:tcPr>
            <w:tcW w:w="1127"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1.55 b</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continue"/>
            <w:vAlign w:val="center"/>
          </w:tcPr>
          <w:p>
            <w:pPr>
              <w:keepNext w:val="0"/>
              <w:keepLines w:val="0"/>
              <w:suppressLineNumbers w:val="0"/>
              <w:spacing w:before="0" w:beforeAutospacing="0" w:after="0" w:afterAutospacing="0"/>
              <w:ind w:left="0" w:right="0"/>
              <w:jc w:val="center"/>
              <w:rPr>
                <w:rFonts w:hint="default"/>
                <w:sz w:val="18"/>
                <w:szCs w:val="18"/>
              </w:rPr>
            </w:pPr>
          </w:p>
        </w:tc>
        <w:tc>
          <w:tcPr>
            <w:tcW w:w="922"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2011</w:t>
            </w:r>
          </w:p>
        </w:tc>
        <w:tc>
          <w:tcPr>
            <w:tcW w:w="1332"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1.81a</w:t>
            </w:r>
          </w:p>
        </w:tc>
        <w:tc>
          <w:tcPr>
            <w:tcW w:w="1230"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1.74a</w:t>
            </w:r>
          </w:p>
        </w:tc>
        <w:tc>
          <w:tcPr>
            <w:tcW w:w="1127"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1.60ab</w:t>
            </w:r>
          </w:p>
        </w:tc>
        <w:tc>
          <w:tcPr>
            <w:tcW w:w="1127"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1.48b</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continue"/>
            <w:tcBorders>
              <w:bottom w:val="single" w:color="4F6228" w:sz="12" w:space="0"/>
            </w:tcBorders>
            <w:vAlign w:val="center"/>
          </w:tcPr>
          <w:p>
            <w:pPr>
              <w:keepNext w:val="0"/>
              <w:keepLines w:val="0"/>
              <w:suppressLineNumbers w:val="0"/>
              <w:spacing w:before="0" w:beforeAutospacing="0" w:after="0" w:afterAutospacing="0"/>
              <w:ind w:left="0" w:right="0"/>
              <w:jc w:val="center"/>
              <w:rPr>
                <w:rFonts w:hint="default"/>
                <w:sz w:val="18"/>
                <w:szCs w:val="18"/>
              </w:rPr>
            </w:pPr>
          </w:p>
        </w:tc>
        <w:tc>
          <w:tcPr>
            <w:tcW w:w="922"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2021</w:t>
            </w:r>
          </w:p>
        </w:tc>
        <w:tc>
          <w:tcPr>
            <w:tcW w:w="1332"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1.80 a</w:t>
            </w:r>
          </w:p>
        </w:tc>
        <w:tc>
          <w:tcPr>
            <w:tcW w:w="1230"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1.73 a</w:t>
            </w:r>
          </w:p>
        </w:tc>
        <w:tc>
          <w:tcPr>
            <w:tcW w:w="1127"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1.58 b</w:t>
            </w:r>
          </w:p>
        </w:tc>
        <w:tc>
          <w:tcPr>
            <w:tcW w:w="1127"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1.43 c</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restart"/>
            <w:tcBorders>
              <w:top w:val="single" w:color="4F6228" w:sz="12" w:space="0"/>
            </w:tcBorders>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cs="宋体"/>
                <w:sz w:val="18"/>
                <w:szCs w:val="18"/>
              </w:rPr>
              <w:t>叶倾角</w:t>
            </w:r>
          </w:p>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Leaf angle(°)</w:t>
            </w:r>
          </w:p>
        </w:tc>
        <w:tc>
          <w:tcPr>
            <w:tcW w:w="922"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2001</w:t>
            </w:r>
          </w:p>
        </w:tc>
        <w:tc>
          <w:tcPr>
            <w:tcW w:w="1332"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9.54 c</w:t>
            </w:r>
          </w:p>
        </w:tc>
        <w:tc>
          <w:tcPr>
            <w:tcW w:w="1230"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9.76 c</w:t>
            </w:r>
          </w:p>
        </w:tc>
        <w:tc>
          <w:tcPr>
            <w:tcW w:w="1127"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12.71 b</w:t>
            </w:r>
          </w:p>
        </w:tc>
        <w:tc>
          <w:tcPr>
            <w:tcW w:w="1127"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34.26 a</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continue"/>
            <w:vAlign w:val="center"/>
          </w:tcPr>
          <w:p>
            <w:pPr>
              <w:keepNext w:val="0"/>
              <w:keepLines w:val="0"/>
              <w:suppressLineNumbers w:val="0"/>
              <w:spacing w:before="0" w:beforeAutospacing="0" w:after="0" w:afterAutospacing="0"/>
              <w:ind w:left="0" w:right="0"/>
              <w:jc w:val="center"/>
              <w:rPr>
                <w:rFonts w:hint="default"/>
                <w:sz w:val="18"/>
                <w:szCs w:val="18"/>
              </w:rPr>
            </w:pPr>
          </w:p>
        </w:tc>
        <w:tc>
          <w:tcPr>
            <w:tcW w:w="922"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2011</w:t>
            </w:r>
          </w:p>
        </w:tc>
        <w:tc>
          <w:tcPr>
            <w:tcW w:w="1332"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11.31b</w:t>
            </w:r>
          </w:p>
        </w:tc>
        <w:tc>
          <w:tcPr>
            <w:tcW w:w="1230"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12.54b</w:t>
            </w:r>
          </w:p>
        </w:tc>
        <w:tc>
          <w:tcPr>
            <w:tcW w:w="1127"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15.45ab.</w:t>
            </w:r>
          </w:p>
        </w:tc>
        <w:tc>
          <w:tcPr>
            <w:tcW w:w="1127"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 xml:space="preserve">22.05a </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continue"/>
            <w:tcBorders>
              <w:bottom w:val="single" w:color="4F6228" w:sz="12" w:space="0"/>
            </w:tcBorders>
            <w:vAlign w:val="center"/>
          </w:tcPr>
          <w:p>
            <w:pPr>
              <w:keepNext w:val="0"/>
              <w:keepLines w:val="0"/>
              <w:suppressLineNumbers w:val="0"/>
              <w:spacing w:before="0" w:beforeAutospacing="0" w:after="0" w:afterAutospacing="0"/>
              <w:ind w:left="0" w:right="0"/>
              <w:jc w:val="center"/>
              <w:rPr>
                <w:rFonts w:hint="default"/>
                <w:sz w:val="18"/>
                <w:szCs w:val="18"/>
              </w:rPr>
            </w:pPr>
          </w:p>
        </w:tc>
        <w:tc>
          <w:tcPr>
            <w:tcW w:w="922"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2021</w:t>
            </w:r>
          </w:p>
        </w:tc>
        <w:tc>
          <w:tcPr>
            <w:tcW w:w="1332"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11.40 b</w:t>
            </w:r>
          </w:p>
        </w:tc>
        <w:tc>
          <w:tcPr>
            <w:tcW w:w="1230"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12.09b</w:t>
            </w:r>
          </w:p>
        </w:tc>
        <w:tc>
          <w:tcPr>
            <w:tcW w:w="1127"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16.56 b</w:t>
            </w:r>
          </w:p>
        </w:tc>
        <w:tc>
          <w:tcPr>
            <w:tcW w:w="1127"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21.17 a</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restart"/>
            <w:tcBorders>
              <w:top w:val="single" w:color="4F6228" w:sz="12" w:space="0"/>
            </w:tcBorders>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cs="宋体"/>
                <w:sz w:val="18"/>
                <w:szCs w:val="18"/>
              </w:rPr>
              <w:t>果台枝抽生率</w:t>
            </w:r>
          </w:p>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Burst ratio of fruit twig (%)</w:t>
            </w:r>
          </w:p>
        </w:tc>
        <w:tc>
          <w:tcPr>
            <w:tcW w:w="922"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2001</w:t>
            </w:r>
          </w:p>
        </w:tc>
        <w:tc>
          <w:tcPr>
            <w:tcW w:w="1332"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91.41 a</w:t>
            </w:r>
          </w:p>
        </w:tc>
        <w:tc>
          <w:tcPr>
            <w:tcW w:w="1230"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87.62 a</w:t>
            </w:r>
          </w:p>
        </w:tc>
        <w:tc>
          <w:tcPr>
            <w:tcW w:w="1127"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89.50 a</w:t>
            </w:r>
          </w:p>
        </w:tc>
        <w:tc>
          <w:tcPr>
            <w:tcW w:w="1127"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49.73 b</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continue"/>
            <w:vAlign w:val="center"/>
          </w:tcPr>
          <w:p>
            <w:pPr>
              <w:keepNext w:val="0"/>
              <w:keepLines w:val="0"/>
              <w:suppressLineNumbers w:val="0"/>
              <w:spacing w:before="0" w:beforeAutospacing="0" w:after="0" w:afterAutospacing="0"/>
              <w:ind w:left="0" w:right="0"/>
              <w:jc w:val="center"/>
              <w:rPr>
                <w:rFonts w:hint="default"/>
                <w:sz w:val="18"/>
                <w:szCs w:val="18"/>
              </w:rPr>
            </w:pPr>
          </w:p>
        </w:tc>
        <w:tc>
          <w:tcPr>
            <w:tcW w:w="922"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2011</w:t>
            </w:r>
          </w:p>
        </w:tc>
        <w:tc>
          <w:tcPr>
            <w:tcW w:w="1332"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78.30 a</w:t>
            </w:r>
          </w:p>
        </w:tc>
        <w:tc>
          <w:tcPr>
            <w:tcW w:w="1230"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73.96 a</w:t>
            </w:r>
          </w:p>
        </w:tc>
        <w:tc>
          <w:tcPr>
            <w:tcW w:w="1127"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62.73b</w:t>
            </w:r>
          </w:p>
        </w:tc>
        <w:tc>
          <w:tcPr>
            <w:tcW w:w="1127"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39.90 c</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continue"/>
            <w:tcBorders>
              <w:bottom w:val="single" w:color="4F6228" w:sz="12" w:space="0"/>
            </w:tcBorders>
            <w:vAlign w:val="center"/>
          </w:tcPr>
          <w:p>
            <w:pPr>
              <w:keepNext w:val="0"/>
              <w:keepLines w:val="0"/>
              <w:suppressLineNumbers w:val="0"/>
              <w:spacing w:before="0" w:beforeAutospacing="0" w:after="0" w:afterAutospacing="0"/>
              <w:ind w:left="0" w:right="0"/>
              <w:jc w:val="center"/>
              <w:rPr>
                <w:rFonts w:hint="default"/>
                <w:sz w:val="18"/>
                <w:szCs w:val="18"/>
              </w:rPr>
            </w:pPr>
          </w:p>
        </w:tc>
        <w:tc>
          <w:tcPr>
            <w:tcW w:w="922"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2021</w:t>
            </w:r>
          </w:p>
        </w:tc>
        <w:tc>
          <w:tcPr>
            <w:tcW w:w="1332"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61.72a</w:t>
            </w:r>
          </w:p>
        </w:tc>
        <w:tc>
          <w:tcPr>
            <w:tcW w:w="1230"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57.40a</w:t>
            </w:r>
          </w:p>
        </w:tc>
        <w:tc>
          <w:tcPr>
            <w:tcW w:w="1127"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36.84b</w:t>
            </w:r>
          </w:p>
        </w:tc>
        <w:tc>
          <w:tcPr>
            <w:tcW w:w="1127"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28.31c</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restart"/>
            <w:tcBorders>
              <w:top w:val="single" w:color="4F6228" w:sz="12" w:space="0"/>
            </w:tcBorders>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cs="宋体"/>
                <w:sz w:val="18"/>
                <w:szCs w:val="18"/>
              </w:rPr>
              <w:t>果台枝成花率</w:t>
            </w:r>
          </w:p>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Flower ratio of fruit twig(%)</w:t>
            </w:r>
          </w:p>
        </w:tc>
        <w:tc>
          <w:tcPr>
            <w:tcW w:w="922"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2001</w:t>
            </w:r>
          </w:p>
        </w:tc>
        <w:tc>
          <w:tcPr>
            <w:tcW w:w="1332"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85.41a</w:t>
            </w:r>
          </w:p>
        </w:tc>
        <w:tc>
          <w:tcPr>
            <w:tcW w:w="1230"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87.26 a</w:t>
            </w:r>
          </w:p>
        </w:tc>
        <w:tc>
          <w:tcPr>
            <w:tcW w:w="1127"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86.09 a</w:t>
            </w:r>
          </w:p>
        </w:tc>
        <w:tc>
          <w:tcPr>
            <w:tcW w:w="1127"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52.13 b</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continue"/>
            <w:vAlign w:val="center"/>
          </w:tcPr>
          <w:p>
            <w:pPr>
              <w:keepNext w:val="0"/>
              <w:keepLines w:val="0"/>
              <w:suppressLineNumbers w:val="0"/>
              <w:spacing w:before="0" w:beforeAutospacing="0" w:after="0" w:afterAutospacing="0"/>
              <w:ind w:left="0" w:right="0"/>
              <w:jc w:val="center"/>
              <w:rPr>
                <w:rFonts w:hint="default"/>
                <w:sz w:val="18"/>
                <w:szCs w:val="18"/>
              </w:rPr>
            </w:pPr>
          </w:p>
        </w:tc>
        <w:tc>
          <w:tcPr>
            <w:tcW w:w="922"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2011</w:t>
            </w:r>
          </w:p>
        </w:tc>
        <w:tc>
          <w:tcPr>
            <w:tcW w:w="1332"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83.25a</w:t>
            </w:r>
          </w:p>
        </w:tc>
        <w:tc>
          <w:tcPr>
            <w:tcW w:w="1230"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 xml:space="preserve"> 85.74a</w:t>
            </w:r>
          </w:p>
        </w:tc>
        <w:tc>
          <w:tcPr>
            <w:tcW w:w="1127"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75.02b</w:t>
            </w:r>
          </w:p>
        </w:tc>
        <w:tc>
          <w:tcPr>
            <w:tcW w:w="1127"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46.76 c</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30" w:hRule="exact"/>
        </w:trPr>
        <w:tc>
          <w:tcPr>
            <w:tcW w:w="2775" w:type="dxa"/>
            <w:vMerge w:val="continue"/>
            <w:tcBorders>
              <w:bottom w:val="single" w:color="4F6228" w:sz="12" w:space="0"/>
            </w:tcBorders>
            <w:vAlign w:val="center"/>
          </w:tcPr>
          <w:p>
            <w:pPr>
              <w:keepNext w:val="0"/>
              <w:keepLines w:val="0"/>
              <w:suppressLineNumbers w:val="0"/>
              <w:spacing w:before="0" w:beforeAutospacing="0" w:after="0" w:afterAutospacing="0"/>
              <w:ind w:left="0" w:right="0"/>
              <w:jc w:val="center"/>
              <w:rPr>
                <w:rFonts w:hint="default"/>
                <w:sz w:val="18"/>
                <w:szCs w:val="18"/>
              </w:rPr>
            </w:pPr>
          </w:p>
        </w:tc>
        <w:tc>
          <w:tcPr>
            <w:tcW w:w="922"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2021</w:t>
            </w:r>
          </w:p>
        </w:tc>
        <w:tc>
          <w:tcPr>
            <w:tcW w:w="1332"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86.70a</w:t>
            </w:r>
          </w:p>
        </w:tc>
        <w:tc>
          <w:tcPr>
            <w:tcW w:w="1230"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83.25a</w:t>
            </w:r>
          </w:p>
        </w:tc>
        <w:tc>
          <w:tcPr>
            <w:tcW w:w="1127"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53.69b</w:t>
            </w:r>
          </w:p>
        </w:tc>
        <w:tc>
          <w:tcPr>
            <w:tcW w:w="1127"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35.48c</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restart"/>
            <w:tcBorders>
              <w:top w:val="single" w:color="4F6228" w:sz="12" w:space="0"/>
            </w:tcBorders>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cs="宋体"/>
                <w:sz w:val="18"/>
                <w:szCs w:val="18"/>
              </w:rPr>
              <w:t>果台枝连续结果率</w:t>
            </w:r>
          </w:p>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Continuing fruiting ratio of fruit twig (%)</w:t>
            </w:r>
          </w:p>
        </w:tc>
        <w:tc>
          <w:tcPr>
            <w:tcW w:w="922"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2001</w:t>
            </w:r>
          </w:p>
        </w:tc>
        <w:tc>
          <w:tcPr>
            <w:tcW w:w="1332"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69.51 a</w:t>
            </w:r>
          </w:p>
        </w:tc>
        <w:tc>
          <w:tcPr>
            <w:tcW w:w="1230"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68.76 a</w:t>
            </w:r>
          </w:p>
        </w:tc>
        <w:tc>
          <w:tcPr>
            <w:tcW w:w="1127"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66.55 a</w:t>
            </w:r>
          </w:p>
        </w:tc>
        <w:tc>
          <w:tcPr>
            <w:tcW w:w="1127"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41.21 b</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continue"/>
            <w:vAlign w:val="center"/>
          </w:tcPr>
          <w:p>
            <w:pPr>
              <w:keepNext w:val="0"/>
              <w:keepLines w:val="0"/>
              <w:suppressLineNumbers w:val="0"/>
              <w:spacing w:before="0" w:beforeAutospacing="0" w:after="0" w:afterAutospacing="0"/>
              <w:ind w:left="0" w:right="0"/>
              <w:jc w:val="center"/>
              <w:rPr>
                <w:rFonts w:hint="default"/>
                <w:sz w:val="18"/>
                <w:szCs w:val="18"/>
              </w:rPr>
            </w:pPr>
          </w:p>
        </w:tc>
        <w:tc>
          <w:tcPr>
            <w:tcW w:w="922"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2011</w:t>
            </w:r>
          </w:p>
        </w:tc>
        <w:tc>
          <w:tcPr>
            <w:tcW w:w="1332"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56.12</w:t>
            </w:r>
          </w:p>
        </w:tc>
        <w:tc>
          <w:tcPr>
            <w:tcW w:w="1230"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53.27</w:t>
            </w:r>
          </w:p>
        </w:tc>
        <w:tc>
          <w:tcPr>
            <w:tcW w:w="1127"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41.90</w:t>
            </w:r>
          </w:p>
        </w:tc>
        <w:tc>
          <w:tcPr>
            <w:tcW w:w="1127"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29.73</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continue"/>
            <w:tcBorders>
              <w:bottom w:val="single" w:color="4F6228" w:sz="12" w:space="0"/>
            </w:tcBorders>
            <w:vAlign w:val="center"/>
          </w:tcPr>
          <w:p>
            <w:pPr>
              <w:keepNext w:val="0"/>
              <w:keepLines w:val="0"/>
              <w:suppressLineNumbers w:val="0"/>
              <w:spacing w:before="0" w:beforeAutospacing="0" w:after="0" w:afterAutospacing="0"/>
              <w:ind w:left="0" w:right="0"/>
              <w:jc w:val="center"/>
              <w:rPr>
                <w:rFonts w:hint="default"/>
                <w:sz w:val="18"/>
                <w:szCs w:val="18"/>
              </w:rPr>
            </w:pPr>
          </w:p>
        </w:tc>
        <w:tc>
          <w:tcPr>
            <w:tcW w:w="922"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2021</w:t>
            </w:r>
          </w:p>
        </w:tc>
        <w:tc>
          <w:tcPr>
            <w:tcW w:w="1332"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55.94</w:t>
            </w:r>
          </w:p>
        </w:tc>
        <w:tc>
          <w:tcPr>
            <w:tcW w:w="1230"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49.26</w:t>
            </w:r>
          </w:p>
        </w:tc>
        <w:tc>
          <w:tcPr>
            <w:tcW w:w="1127"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37.17</w:t>
            </w:r>
          </w:p>
        </w:tc>
        <w:tc>
          <w:tcPr>
            <w:tcW w:w="1127"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24.08</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restart"/>
            <w:tcBorders>
              <w:top w:val="single" w:color="4F6228" w:sz="12" w:space="0"/>
            </w:tcBorders>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cs="宋体"/>
                <w:sz w:val="18"/>
                <w:szCs w:val="18"/>
              </w:rPr>
              <w:t>果台枝长度</w:t>
            </w:r>
          </w:p>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Length of fruit twig</w:t>
            </w:r>
            <w:r>
              <w:rPr>
                <w:rFonts w:hint="eastAsia" w:cs="宋体"/>
                <w:sz w:val="18"/>
                <w:szCs w:val="18"/>
              </w:rPr>
              <w:t>（</w:t>
            </w:r>
            <w:r>
              <w:rPr>
                <w:rFonts w:hint="default"/>
                <w:sz w:val="18"/>
                <w:szCs w:val="18"/>
              </w:rPr>
              <w:t>cm</w:t>
            </w:r>
            <w:r>
              <w:rPr>
                <w:rFonts w:hint="eastAsia" w:cs="宋体"/>
                <w:sz w:val="18"/>
                <w:szCs w:val="18"/>
              </w:rPr>
              <w:t>）</w:t>
            </w:r>
          </w:p>
        </w:tc>
        <w:tc>
          <w:tcPr>
            <w:tcW w:w="922"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2001</w:t>
            </w:r>
          </w:p>
        </w:tc>
        <w:tc>
          <w:tcPr>
            <w:tcW w:w="1332"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77.19 a</w:t>
            </w:r>
          </w:p>
        </w:tc>
        <w:tc>
          <w:tcPr>
            <w:tcW w:w="1230"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75.00 a</w:t>
            </w:r>
          </w:p>
        </w:tc>
        <w:tc>
          <w:tcPr>
            <w:tcW w:w="1127"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67.31 b</w:t>
            </w:r>
          </w:p>
        </w:tc>
        <w:tc>
          <w:tcPr>
            <w:tcW w:w="1127"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38.93 c</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continue"/>
            <w:vAlign w:val="center"/>
          </w:tcPr>
          <w:p>
            <w:pPr>
              <w:keepNext w:val="0"/>
              <w:keepLines w:val="0"/>
              <w:suppressLineNumbers w:val="0"/>
              <w:spacing w:before="0" w:beforeAutospacing="0" w:after="0" w:afterAutospacing="0"/>
              <w:ind w:left="0" w:right="0"/>
              <w:jc w:val="center"/>
              <w:rPr>
                <w:rFonts w:hint="default"/>
                <w:sz w:val="18"/>
                <w:szCs w:val="18"/>
              </w:rPr>
            </w:pPr>
          </w:p>
        </w:tc>
        <w:tc>
          <w:tcPr>
            <w:tcW w:w="922"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2011</w:t>
            </w:r>
          </w:p>
        </w:tc>
        <w:tc>
          <w:tcPr>
            <w:tcW w:w="1332"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29.40 a</w:t>
            </w:r>
          </w:p>
        </w:tc>
        <w:tc>
          <w:tcPr>
            <w:tcW w:w="1230"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26.69 a</w:t>
            </w:r>
          </w:p>
        </w:tc>
        <w:tc>
          <w:tcPr>
            <w:tcW w:w="1127"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25.37 a</w:t>
            </w:r>
          </w:p>
        </w:tc>
        <w:tc>
          <w:tcPr>
            <w:tcW w:w="1127"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13.14 b</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continue"/>
            <w:tcBorders>
              <w:bottom w:val="single" w:color="4F6228" w:sz="12" w:space="0"/>
            </w:tcBorders>
            <w:vAlign w:val="center"/>
          </w:tcPr>
          <w:p>
            <w:pPr>
              <w:keepNext w:val="0"/>
              <w:keepLines w:val="0"/>
              <w:suppressLineNumbers w:val="0"/>
              <w:spacing w:before="0" w:beforeAutospacing="0" w:after="0" w:afterAutospacing="0"/>
              <w:ind w:left="0" w:right="0"/>
              <w:jc w:val="center"/>
              <w:rPr>
                <w:rFonts w:hint="default"/>
                <w:sz w:val="18"/>
                <w:szCs w:val="18"/>
              </w:rPr>
            </w:pPr>
          </w:p>
        </w:tc>
        <w:tc>
          <w:tcPr>
            <w:tcW w:w="922"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2021</w:t>
            </w:r>
          </w:p>
        </w:tc>
        <w:tc>
          <w:tcPr>
            <w:tcW w:w="1332"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31.08 a</w:t>
            </w:r>
          </w:p>
        </w:tc>
        <w:tc>
          <w:tcPr>
            <w:tcW w:w="1230"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25.97 a</w:t>
            </w:r>
          </w:p>
        </w:tc>
        <w:tc>
          <w:tcPr>
            <w:tcW w:w="1127"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26.31 a</w:t>
            </w:r>
          </w:p>
        </w:tc>
        <w:tc>
          <w:tcPr>
            <w:tcW w:w="1127"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12.20 b</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restart"/>
            <w:tcBorders>
              <w:top w:val="single" w:color="4F6228" w:sz="12" w:space="0"/>
            </w:tcBorders>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cs="宋体"/>
                <w:sz w:val="18"/>
                <w:szCs w:val="18"/>
              </w:rPr>
              <w:t>单株果实数</w:t>
            </w:r>
          </w:p>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Number of fruit per tree</w:t>
            </w:r>
          </w:p>
        </w:tc>
        <w:tc>
          <w:tcPr>
            <w:tcW w:w="922"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2001</w:t>
            </w:r>
          </w:p>
        </w:tc>
        <w:tc>
          <w:tcPr>
            <w:tcW w:w="1332"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175.0 b</w:t>
            </w:r>
          </w:p>
        </w:tc>
        <w:tc>
          <w:tcPr>
            <w:tcW w:w="1230"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159.3 b</w:t>
            </w:r>
          </w:p>
        </w:tc>
        <w:tc>
          <w:tcPr>
            <w:tcW w:w="1127"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166.0 b</w:t>
            </w:r>
          </w:p>
        </w:tc>
        <w:tc>
          <w:tcPr>
            <w:tcW w:w="1127"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213.7 a</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continue"/>
            <w:vAlign w:val="center"/>
          </w:tcPr>
          <w:p>
            <w:pPr>
              <w:keepNext w:val="0"/>
              <w:keepLines w:val="0"/>
              <w:suppressLineNumbers w:val="0"/>
              <w:spacing w:before="0" w:beforeAutospacing="0" w:after="0" w:afterAutospacing="0"/>
              <w:ind w:left="0" w:right="0"/>
              <w:jc w:val="center"/>
              <w:rPr>
                <w:rFonts w:hint="default"/>
                <w:sz w:val="18"/>
                <w:szCs w:val="18"/>
              </w:rPr>
            </w:pPr>
          </w:p>
        </w:tc>
        <w:tc>
          <w:tcPr>
            <w:tcW w:w="922"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2011</w:t>
            </w:r>
          </w:p>
        </w:tc>
        <w:tc>
          <w:tcPr>
            <w:tcW w:w="1332"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288.0 a</w:t>
            </w:r>
          </w:p>
        </w:tc>
        <w:tc>
          <w:tcPr>
            <w:tcW w:w="1230"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286.0 a</w:t>
            </w:r>
          </w:p>
        </w:tc>
        <w:tc>
          <w:tcPr>
            <w:tcW w:w="1127"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282.0 a</w:t>
            </w:r>
          </w:p>
        </w:tc>
        <w:tc>
          <w:tcPr>
            <w:tcW w:w="1127"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304.0 b</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continue"/>
            <w:tcBorders>
              <w:bottom w:val="single" w:color="4F6228" w:sz="12" w:space="0"/>
            </w:tcBorders>
            <w:vAlign w:val="center"/>
          </w:tcPr>
          <w:p>
            <w:pPr>
              <w:keepNext w:val="0"/>
              <w:keepLines w:val="0"/>
              <w:suppressLineNumbers w:val="0"/>
              <w:spacing w:before="0" w:beforeAutospacing="0" w:after="0" w:afterAutospacing="0"/>
              <w:ind w:left="0" w:right="0"/>
              <w:jc w:val="center"/>
              <w:rPr>
                <w:rFonts w:hint="default"/>
                <w:sz w:val="18"/>
                <w:szCs w:val="18"/>
              </w:rPr>
            </w:pPr>
          </w:p>
        </w:tc>
        <w:tc>
          <w:tcPr>
            <w:tcW w:w="922"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2021</w:t>
            </w:r>
          </w:p>
        </w:tc>
        <w:tc>
          <w:tcPr>
            <w:tcW w:w="1332"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604.5a</w:t>
            </w:r>
          </w:p>
        </w:tc>
        <w:tc>
          <w:tcPr>
            <w:tcW w:w="1230"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620.1a</w:t>
            </w:r>
          </w:p>
        </w:tc>
        <w:tc>
          <w:tcPr>
            <w:tcW w:w="1127"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538.3b</w:t>
            </w:r>
          </w:p>
        </w:tc>
        <w:tc>
          <w:tcPr>
            <w:tcW w:w="1127" w:type="dxa"/>
            <w:tcBorders>
              <w:top w:val="nil"/>
              <w:bottom w:val="single" w:color="4F6228" w:sz="12"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410.9c</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restart"/>
            <w:tcBorders>
              <w:top w:val="single" w:color="4F6228" w:sz="12" w:space="0"/>
            </w:tcBorders>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cs="宋体"/>
                <w:sz w:val="18"/>
                <w:szCs w:val="18"/>
              </w:rPr>
              <w:t>产量</w:t>
            </w:r>
          </w:p>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Yield (kg·666cm</w:t>
            </w:r>
            <w:r>
              <w:rPr>
                <w:rFonts w:hint="default"/>
                <w:sz w:val="18"/>
                <w:szCs w:val="18"/>
                <w:vertAlign w:val="superscript"/>
              </w:rPr>
              <w:t>-2</w:t>
            </w:r>
            <w:r>
              <w:rPr>
                <w:rFonts w:hint="default"/>
                <w:sz w:val="18"/>
                <w:szCs w:val="18"/>
              </w:rPr>
              <w:t>)</w:t>
            </w:r>
          </w:p>
        </w:tc>
        <w:tc>
          <w:tcPr>
            <w:tcW w:w="922"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2001</w:t>
            </w:r>
          </w:p>
        </w:tc>
        <w:tc>
          <w:tcPr>
            <w:tcW w:w="1332"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1875.29 b</w:t>
            </w:r>
          </w:p>
        </w:tc>
        <w:tc>
          <w:tcPr>
            <w:tcW w:w="1230"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1921.37 b</w:t>
            </w:r>
          </w:p>
        </w:tc>
        <w:tc>
          <w:tcPr>
            <w:tcW w:w="1127"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1934.73 b</w:t>
            </w:r>
          </w:p>
        </w:tc>
        <w:tc>
          <w:tcPr>
            <w:tcW w:w="1127" w:type="dxa"/>
            <w:tcBorders>
              <w:top w:val="single" w:color="4F6228" w:sz="12" w:space="0"/>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2162.08 a</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continue"/>
            <w:vAlign w:val="center"/>
          </w:tcPr>
          <w:p>
            <w:pPr>
              <w:keepNext w:val="0"/>
              <w:keepLines w:val="0"/>
              <w:suppressLineNumbers w:val="0"/>
              <w:spacing w:before="0" w:beforeAutospacing="0" w:after="0" w:afterAutospacing="0"/>
              <w:ind w:left="0" w:right="0"/>
              <w:jc w:val="center"/>
              <w:rPr>
                <w:rFonts w:hint="default"/>
                <w:sz w:val="18"/>
                <w:szCs w:val="18"/>
              </w:rPr>
            </w:pPr>
          </w:p>
        </w:tc>
        <w:tc>
          <w:tcPr>
            <w:tcW w:w="922"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2011</w:t>
            </w:r>
          </w:p>
        </w:tc>
        <w:tc>
          <w:tcPr>
            <w:tcW w:w="1332"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3268.25 a</w:t>
            </w:r>
          </w:p>
        </w:tc>
        <w:tc>
          <w:tcPr>
            <w:tcW w:w="1230"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3215.25 a</w:t>
            </w:r>
          </w:p>
        </w:tc>
        <w:tc>
          <w:tcPr>
            <w:tcW w:w="1127"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3203.24 a</w:t>
            </w:r>
          </w:p>
        </w:tc>
        <w:tc>
          <w:tcPr>
            <w:tcW w:w="1127" w:type="dxa"/>
            <w:tcBorders>
              <w:top w:val="nil"/>
              <w:bottom w:val="nil"/>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3015.48 b</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3" w:hRule="exact"/>
        </w:trPr>
        <w:tc>
          <w:tcPr>
            <w:tcW w:w="2775" w:type="dxa"/>
            <w:vMerge w:val="continue"/>
            <w:tcBorders>
              <w:bottom w:val="single" w:color="4F6228" w:sz="18" w:space="0"/>
            </w:tcBorders>
            <w:vAlign w:val="center"/>
          </w:tcPr>
          <w:p>
            <w:pPr>
              <w:keepNext w:val="0"/>
              <w:keepLines w:val="0"/>
              <w:suppressLineNumbers w:val="0"/>
              <w:spacing w:before="0" w:beforeAutospacing="0" w:after="0" w:afterAutospacing="0"/>
              <w:ind w:left="0" w:right="0"/>
              <w:jc w:val="center"/>
              <w:rPr>
                <w:rFonts w:hint="default"/>
                <w:sz w:val="18"/>
                <w:szCs w:val="18"/>
              </w:rPr>
            </w:pPr>
          </w:p>
        </w:tc>
        <w:tc>
          <w:tcPr>
            <w:tcW w:w="922" w:type="dxa"/>
            <w:tcBorders>
              <w:top w:val="nil"/>
              <w:bottom w:val="single" w:color="4F6228" w:sz="18"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2021</w:t>
            </w:r>
          </w:p>
        </w:tc>
        <w:tc>
          <w:tcPr>
            <w:tcW w:w="1332" w:type="dxa"/>
            <w:tcBorders>
              <w:top w:val="nil"/>
              <w:bottom w:val="single" w:color="4F6228" w:sz="18"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3380.34a</w:t>
            </w:r>
          </w:p>
        </w:tc>
        <w:tc>
          <w:tcPr>
            <w:tcW w:w="1230" w:type="dxa"/>
            <w:tcBorders>
              <w:top w:val="nil"/>
              <w:bottom w:val="single" w:color="4F6228" w:sz="18"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3309.73a</w:t>
            </w:r>
          </w:p>
        </w:tc>
        <w:tc>
          <w:tcPr>
            <w:tcW w:w="1127" w:type="dxa"/>
            <w:tcBorders>
              <w:top w:val="nil"/>
              <w:bottom w:val="single" w:color="4F6228" w:sz="18"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2816.45b</w:t>
            </w:r>
          </w:p>
        </w:tc>
        <w:tc>
          <w:tcPr>
            <w:tcW w:w="1127" w:type="dxa"/>
            <w:tcBorders>
              <w:top w:val="nil"/>
              <w:bottom w:val="single" w:color="4F6228" w:sz="18" w:space="0"/>
            </w:tcBorders>
          </w:tcPr>
          <w:p>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2603.20c</w:t>
            </w:r>
          </w:p>
        </w:tc>
      </w:tr>
    </w:tbl>
    <w:p>
      <w:pPr>
        <w:spacing w:line="360" w:lineRule="auto"/>
        <w:ind w:firstLine="480" w:firstLineChars="200"/>
        <w:rPr>
          <w:rFonts w:ascii="宋体" w:cs="宋体"/>
          <w:sz w:val="24"/>
          <w:szCs w:val="24"/>
        </w:rPr>
      </w:pPr>
      <w:r>
        <w:rPr>
          <w:rFonts w:hint="default" w:ascii="Calibri" w:hAnsi="Calibri" w:cs="Calibri"/>
          <w:sz w:val="24"/>
          <w:szCs w:val="24"/>
        </w:rPr>
        <w:t>②</w:t>
      </w:r>
      <w:r>
        <w:rPr>
          <w:rFonts w:hint="eastAsia" w:ascii="宋体" w:hAnsi="宋体" w:cs="宋体"/>
          <w:sz w:val="24"/>
          <w:szCs w:val="24"/>
        </w:rPr>
        <w:t>验证方法</w:t>
      </w:r>
    </w:p>
    <w:p>
      <w:pPr>
        <w:spacing w:line="360" w:lineRule="auto"/>
        <w:ind w:firstLine="480" w:firstLineChars="200"/>
        <w:jc w:val="left"/>
        <w:rPr>
          <w:rFonts w:hint="eastAsia" w:ascii="??_GB2312" w:hAnsi="宋体" w:eastAsia="Times New Roman"/>
          <w:sz w:val="24"/>
          <w:szCs w:val="24"/>
        </w:rPr>
      </w:pPr>
      <w:r>
        <w:rPr>
          <w:rFonts w:hint="eastAsia" w:ascii="??_GB2312" w:hAnsi="宋体" w:eastAsia="Times New Roman"/>
          <w:sz w:val="24"/>
          <w:szCs w:val="24"/>
        </w:rPr>
        <w:t>通过课题组在我省苹果主产区示范果园试验测评结果验证。主要验证内容包括树干高度、枝组数量、开张角度、树体枝展、延伸角度、果实SSC、花色苷含量等技术指标。</w:t>
      </w:r>
    </w:p>
    <w:p>
      <w:pPr>
        <w:spacing w:line="360" w:lineRule="auto"/>
        <w:ind w:firstLine="480" w:firstLineChars="200"/>
        <w:outlineLvl w:val="0"/>
        <w:rPr>
          <w:rFonts w:ascii="黑体" w:eastAsia="黑体"/>
          <w:sz w:val="24"/>
          <w:szCs w:val="24"/>
        </w:rPr>
      </w:pPr>
      <w:r>
        <w:rPr>
          <w:rFonts w:hint="eastAsia" w:ascii="黑体" w:eastAsia="黑体" w:cs="黑体"/>
          <w:sz w:val="24"/>
          <w:szCs w:val="24"/>
        </w:rPr>
        <w:t>六、重大意见分歧的处理依据和结果</w:t>
      </w:r>
    </w:p>
    <w:p>
      <w:pPr>
        <w:spacing w:line="360" w:lineRule="auto"/>
        <w:ind w:firstLine="480" w:firstLineChars="200"/>
        <w:jc w:val="left"/>
        <w:rPr>
          <w:rFonts w:ascii="??_GB2312" w:hAnsi="宋体" w:eastAsia="Times New Roman"/>
          <w:sz w:val="24"/>
          <w:szCs w:val="24"/>
        </w:rPr>
      </w:pPr>
      <w:r>
        <w:rPr>
          <w:rFonts w:ascii="??_GB2312" w:hAnsi="宋体" w:eastAsia="Times New Roman"/>
          <w:sz w:val="24"/>
          <w:szCs w:val="24"/>
        </w:rPr>
        <w:t>本标准无重大意见分歧。</w:t>
      </w:r>
    </w:p>
    <w:p>
      <w:pPr>
        <w:spacing w:line="360" w:lineRule="auto"/>
        <w:ind w:firstLine="480" w:firstLineChars="200"/>
        <w:outlineLvl w:val="0"/>
        <w:rPr>
          <w:rFonts w:ascii="黑体" w:eastAsia="黑体"/>
          <w:sz w:val="24"/>
          <w:szCs w:val="24"/>
        </w:rPr>
      </w:pPr>
      <w:r>
        <w:rPr>
          <w:rFonts w:hint="eastAsia" w:ascii="黑体" w:eastAsia="黑体" w:cs="黑体"/>
          <w:sz w:val="24"/>
          <w:szCs w:val="24"/>
        </w:rPr>
        <w:t>七、采标情况，是否合规引用或采用国际标准和国外先进标准，以及与国内外同类标准水平的对比情况</w:t>
      </w:r>
    </w:p>
    <w:p>
      <w:pPr>
        <w:spacing w:line="360" w:lineRule="auto"/>
        <w:ind w:firstLine="480" w:firstLineChars="200"/>
        <w:jc w:val="left"/>
        <w:rPr>
          <w:rFonts w:ascii="??_GB2312" w:hAnsi="宋体" w:eastAsia="Times New Roman"/>
          <w:sz w:val="24"/>
          <w:szCs w:val="24"/>
        </w:rPr>
      </w:pPr>
      <w:r>
        <w:rPr>
          <w:rFonts w:ascii="??_GB2312" w:hAnsi="宋体" w:eastAsia="Times New Roman"/>
          <w:sz w:val="24"/>
          <w:szCs w:val="24"/>
        </w:rPr>
        <w:t>本标准没有采用国际标准和国外先进标准。暂无苹果开心树形方面的国标、行标。本标准的提出，是对国家现行苹果生产标准的拓展和延伸。</w:t>
      </w:r>
    </w:p>
    <w:p>
      <w:pPr>
        <w:spacing w:line="360" w:lineRule="auto"/>
        <w:ind w:firstLine="480" w:firstLineChars="200"/>
        <w:jc w:val="left"/>
        <w:rPr>
          <w:rFonts w:ascii="??_GB2312" w:eastAsia="Times New Roman"/>
          <w:sz w:val="32"/>
          <w:szCs w:val="32"/>
        </w:rPr>
      </w:pPr>
      <w:r>
        <w:rPr>
          <w:rFonts w:ascii="??_GB2312" w:hAnsi="宋体" w:eastAsia="Times New Roman"/>
          <w:sz w:val="24"/>
          <w:szCs w:val="24"/>
        </w:rPr>
        <w:t>与现行的国标、行标及其它省市的地方标准相比较，本标准突出了以下几个方面的内容。</w:t>
      </w:r>
      <w:r>
        <w:rPr>
          <w:rFonts w:ascii="??_GB2312" w:hAnsi="宋体" w:eastAsia="Times New Roman" w:cs="??_GB2312"/>
          <w:sz w:val="24"/>
          <w:szCs w:val="24"/>
        </w:rPr>
        <w:t>1</w:t>
      </w:r>
      <w:r>
        <w:rPr>
          <w:rFonts w:ascii="??_GB2312" w:hAnsi="宋体" w:eastAsia="Times New Roman"/>
          <w:sz w:val="24"/>
          <w:szCs w:val="24"/>
        </w:rPr>
        <w:t>、结合山西省及我国北方主要苹果产区乔化果园普遍存在的果园郁闭问题，以高效开心树形结构模式构建为核心，提出了开心树形幼树阶段、初果阶段、盛果阶段和稳定阶段树形模式具体标准，同时确立了不同阶段苹果树形改造整形修剪量化指标，建立了我国大面积乔化果园开心树形改造的技术标准。</w:t>
      </w:r>
      <w:r>
        <w:rPr>
          <w:rFonts w:ascii="??_GB2312" w:hAnsi="宋体" w:eastAsia="Times New Roman" w:cs="??_GB2312"/>
          <w:sz w:val="24"/>
          <w:szCs w:val="24"/>
        </w:rPr>
        <w:t>2</w:t>
      </w:r>
      <w:r>
        <w:rPr>
          <w:rFonts w:ascii="??_GB2312" w:hAnsi="宋体" w:eastAsia="Times New Roman"/>
          <w:sz w:val="24"/>
          <w:szCs w:val="24"/>
        </w:rPr>
        <w:t>、为了配合高光效开心树形技术实施后果实品质发育，本标准在制定过程中，结果各地果园肥水管理条件，还提出了山西省高海拔生产条件下苹果树形培育紧密相关的产地环境选择、品种配置技术标准，建立完善的苹果高光效树形生产管理的保障技术。</w:t>
      </w:r>
    </w:p>
    <w:p>
      <w:pPr>
        <w:spacing w:line="360" w:lineRule="auto"/>
        <w:ind w:firstLine="480" w:firstLineChars="200"/>
        <w:outlineLvl w:val="0"/>
        <w:rPr>
          <w:rFonts w:ascii="黑体" w:eastAsia="黑体"/>
          <w:sz w:val="24"/>
          <w:szCs w:val="24"/>
        </w:rPr>
      </w:pPr>
      <w:r>
        <w:rPr>
          <w:rFonts w:hint="eastAsia" w:ascii="黑体" w:eastAsia="黑体" w:cs="黑体"/>
          <w:sz w:val="24"/>
          <w:szCs w:val="24"/>
        </w:rPr>
        <w:t>八、作为推荐性标准的建议及其理由</w:t>
      </w:r>
    </w:p>
    <w:p>
      <w:pPr>
        <w:spacing w:line="360" w:lineRule="auto"/>
        <w:ind w:firstLine="480" w:firstLineChars="200"/>
        <w:jc w:val="left"/>
        <w:rPr>
          <w:rFonts w:ascii="??_GB2312" w:hAnsi="宋体" w:eastAsia="Times New Roman"/>
          <w:sz w:val="24"/>
          <w:szCs w:val="24"/>
        </w:rPr>
      </w:pPr>
      <w:r>
        <w:rPr>
          <w:rFonts w:hint="eastAsia" w:ascii="??_GB2312" w:hAnsi="宋体" w:eastAsia="Times New Roman"/>
          <w:sz w:val="24"/>
          <w:szCs w:val="24"/>
        </w:rPr>
        <w:t>山西省苹果栽培规模大，苹果产业已经成为不少地方的农业主导产业。已往苹果高光效树形整形修剪主要参考国标、团标，但技术内容少，针对性不强。本标准的制定和修订以本团队该领域内的研究成果为依托，填补了我省本领域的空白，应用前景非常广阔。建议本标准为推荐性标准</w:t>
      </w:r>
      <w:r>
        <w:rPr>
          <w:rFonts w:ascii="??_GB2312" w:hAnsi="宋体" w:eastAsia="Times New Roman"/>
          <w:sz w:val="24"/>
          <w:szCs w:val="24"/>
        </w:rPr>
        <w:t>发布实施</w:t>
      </w:r>
      <w:r>
        <w:rPr>
          <w:rFonts w:hint="eastAsia" w:ascii="??_GB2312" w:hAnsi="宋体" w:eastAsia="Times New Roman"/>
          <w:sz w:val="24"/>
          <w:szCs w:val="24"/>
        </w:rPr>
        <w:t>。</w:t>
      </w:r>
    </w:p>
    <w:p>
      <w:pPr>
        <w:numPr>
          <w:ilvl w:val="0"/>
          <w:numId w:val="3"/>
        </w:numPr>
        <w:spacing w:line="360" w:lineRule="auto"/>
        <w:ind w:firstLine="480" w:firstLineChars="200"/>
        <w:outlineLvl w:val="0"/>
        <w:rPr>
          <w:rFonts w:ascii="黑体" w:eastAsia="黑体"/>
          <w:sz w:val="24"/>
          <w:szCs w:val="24"/>
        </w:rPr>
      </w:pPr>
      <w:r>
        <w:rPr>
          <w:rFonts w:hint="eastAsia" w:ascii="黑体" w:eastAsia="黑体" w:cs="黑体"/>
          <w:sz w:val="24"/>
          <w:szCs w:val="24"/>
        </w:rPr>
        <w:t>实施标准的措施建议</w:t>
      </w:r>
    </w:p>
    <w:p>
      <w:pPr>
        <w:spacing w:line="360" w:lineRule="auto"/>
        <w:ind w:firstLine="480" w:firstLineChars="200"/>
        <w:jc w:val="left"/>
        <w:rPr>
          <w:rFonts w:ascii="??_GB2312" w:hAnsi="宋体" w:eastAsia="Times New Roman"/>
          <w:color w:val="C00000"/>
          <w:sz w:val="24"/>
          <w:szCs w:val="24"/>
        </w:rPr>
      </w:pPr>
      <w:r>
        <w:rPr>
          <w:rFonts w:ascii="??_GB2312" w:hAnsi="宋体" w:eastAsia="Times New Roman" w:cs="??_GB2312"/>
          <w:sz w:val="24"/>
          <w:szCs w:val="24"/>
        </w:rPr>
        <w:t>1</w:t>
      </w:r>
      <w:r>
        <w:rPr>
          <w:rFonts w:ascii="??_GB2312" w:hAnsi="宋体" w:eastAsia="Times New Roman"/>
          <w:sz w:val="24"/>
          <w:szCs w:val="24"/>
        </w:rPr>
        <w:t>、项目组结合团队承担的示范推广项目及相关企业与合作社在运城、临汾、等地建立了开心树形示范基地</w:t>
      </w:r>
      <w:r>
        <w:rPr>
          <w:rFonts w:ascii="??_GB2312" w:hAnsi="宋体" w:eastAsia="Times New Roman" w:cs="??_GB2312"/>
          <w:sz w:val="24"/>
          <w:szCs w:val="24"/>
        </w:rPr>
        <w:t>3</w:t>
      </w:r>
      <w:r>
        <w:rPr>
          <w:rFonts w:ascii="??_GB2312" w:hAnsi="宋体" w:eastAsia="Times New Roman"/>
          <w:sz w:val="24"/>
          <w:szCs w:val="24"/>
        </w:rPr>
        <w:t>个，结合前期研究成果与试验示范，对该标准的制定与宣贯起到重要的推动作用。打造样板推进标准化示范，做好示范基地示范，以点带面，辐射推广。</w:t>
      </w:r>
    </w:p>
    <w:p>
      <w:pPr>
        <w:spacing w:line="360" w:lineRule="auto"/>
        <w:ind w:firstLine="480" w:firstLineChars="200"/>
        <w:jc w:val="left"/>
        <w:rPr>
          <w:rFonts w:ascii="??_GB2312" w:hAnsi="宋体" w:eastAsia="Times New Roman"/>
          <w:sz w:val="24"/>
          <w:szCs w:val="24"/>
        </w:rPr>
      </w:pPr>
      <w:r>
        <w:rPr>
          <w:rFonts w:ascii="??_GB2312" w:hAnsi="宋体" w:eastAsia="Times New Roman" w:cs="??_GB2312"/>
          <w:sz w:val="24"/>
          <w:szCs w:val="24"/>
        </w:rPr>
        <w:t>2</w:t>
      </w:r>
      <w:r>
        <w:rPr>
          <w:rFonts w:ascii="??_GB2312" w:hAnsi="宋体" w:eastAsia="Times New Roman"/>
          <w:sz w:val="24"/>
          <w:szCs w:val="24"/>
        </w:rPr>
        <w:t>、强化整形修剪技术培训，提高产区管理水平。针对我省乔化果园普遍存在的树冠郁闭和果园郁闭问题，将与山西省农业产业技术体系水果产业体系合作，通过新型职业农民培育途径，举办培训班、召开现场会、远程教育、专家讲座和科技直通车进村入户等，在运城市、临汾市、晋中市培养一大批熟知生产技术规程、掌握整形修剪核心技术的新型职业农民，加强农技人员应用标准、推广标准的培训及现场技术指导，做好高素质农民培训，推动农户等应用标准的能力。</w:t>
      </w:r>
    </w:p>
    <w:p>
      <w:pPr>
        <w:spacing w:line="360" w:lineRule="auto"/>
        <w:ind w:firstLine="480" w:firstLineChars="200"/>
        <w:jc w:val="left"/>
        <w:rPr>
          <w:rFonts w:ascii="??_GB2312" w:hAnsi="宋体" w:eastAsia="Times New Roman"/>
          <w:sz w:val="24"/>
          <w:szCs w:val="24"/>
        </w:rPr>
      </w:pPr>
      <w:r>
        <w:rPr>
          <w:rFonts w:ascii="??_GB2312" w:hAnsi="宋体" w:eastAsia="Times New Roman" w:cs="??_GB2312"/>
          <w:sz w:val="24"/>
          <w:szCs w:val="24"/>
        </w:rPr>
        <w:t>3</w:t>
      </w:r>
      <w:r>
        <w:rPr>
          <w:rFonts w:ascii="??_GB2312" w:hAnsi="宋体" w:eastAsia="Times New Roman"/>
          <w:sz w:val="24"/>
          <w:szCs w:val="24"/>
        </w:rPr>
        <w:t>、合作建设示范果园，系统展示技术标准</w:t>
      </w:r>
    </w:p>
    <w:p>
      <w:pPr>
        <w:spacing w:line="360" w:lineRule="auto"/>
        <w:ind w:firstLine="480" w:firstLineChars="200"/>
        <w:jc w:val="left"/>
        <w:rPr>
          <w:rFonts w:ascii="??_GB2312" w:hAnsi="宋体" w:eastAsia="Times New Roman"/>
          <w:sz w:val="24"/>
          <w:szCs w:val="24"/>
        </w:rPr>
      </w:pPr>
      <w:r>
        <w:rPr>
          <w:rFonts w:ascii="??_GB2312" w:hAnsi="宋体" w:eastAsia="Times New Roman"/>
          <w:sz w:val="24"/>
          <w:szCs w:val="24"/>
        </w:rPr>
        <w:t>针对苹果树形整形修剪技术操作难度大、高光效果园建设时间长的实际问题，将通过与运城市、临汾市主要产区地方政府合作，建立一大批苹果开心树形标准化示范果园，系统展示整形修剪标准技术，引导产业技术更新。</w:t>
      </w:r>
    </w:p>
    <w:p>
      <w:pPr>
        <w:spacing w:line="360" w:lineRule="auto"/>
        <w:ind w:firstLine="480" w:firstLineChars="200"/>
        <w:jc w:val="left"/>
        <w:rPr>
          <w:rFonts w:ascii="??_GB2312" w:hAnsi="宋体" w:eastAsia="Times New Roman"/>
          <w:sz w:val="24"/>
          <w:szCs w:val="24"/>
        </w:rPr>
      </w:pPr>
      <w:r>
        <w:rPr>
          <w:rFonts w:ascii="??_GB2312" w:hAnsi="宋体" w:eastAsia="Times New Roman" w:cs="??_GB2312"/>
          <w:sz w:val="24"/>
          <w:szCs w:val="24"/>
        </w:rPr>
        <w:t>4</w:t>
      </w:r>
      <w:r>
        <w:rPr>
          <w:rFonts w:ascii="??_GB2312" w:hAnsi="宋体" w:eastAsia="Times New Roman"/>
          <w:sz w:val="24"/>
          <w:szCs w:val="24"/>
        </w:rPr>
        <w:t>、搭建农民便于掌握的平台，充分利用电视、广播、报刊、网络、微信公众号等“线上线下”媒体进行专题介绍和宣传，借助省产业技术体系的力量，将开心树形生产技术标准普及到苹果实际生产中。</w:t>
      </w:r>
    </w:p>
    <w:p>
      <w:pPr>
        <w:spacing w:line="360" w:lineRule="auto"/>
        <w:jc w:val="left"/>
        <w:rPr>
          <w:rFonts w:ascii="??_GB2312" w:hAnsi="宋体" w:eastAsia="Times New Roman"/>
          <w:sz w:val="24"/>
          <w:szCs w:val="24"/>
        </w:rPr>
      </w:pPr>
    </w:p>
    <w:p>
      <w:pPr>
        <w:spacing w:line="360" w:lineRule="auto"/>
        <w:ind w:firstLine="480" w:firstLineChars="200"/>
        <w:jc w:val="left"/>
        <w:rPr>
          <w:rFonts w:ascii="??_GB2312" w:hAnsi="宋体" w:eastAsia="Times New Roman"/>
          <w:sz w:val="24"/>
          <w:szCs w:val="24"/>
        </w:rPr>
      </w:pPr>
    </w:p>
    <w:p>
      <w:pPr>
        <w:spacing w:line="360" w:lineRule="auto"/>
        <w:ind w:firstLine="480" w:firstLineChars="200"/>
        <w:jc w:val="left"/>
        <w:rPr>
          <w:rFonts w:ascii="??_GB2312" w:hAnsi="宋体" w:eastAsia="Times New Roman"/>
          <w:sz w:val="24"/>
          <w:szCs w:val="24"/>
        </w:rPr>
      </w:pPr>
    </w:p>
    <w:p>
      <w:pPr>
        <w:spacing w:line="360" w:lineRule="auto"/>
        <w:ind w:firstLine="480" w:firstLineChars="200"/>
        <w:jc w:val="left"/>
        <w:rPr>
          <w:rFonts w:ascii="??_GB2312" w:hAnsi="宋体" w:eastAsia="Times New Roman"/>
          <w:sz w:val="24"/>
          <w:szCs w:val="24"/>
        </w:rPr>
      </w:pPr>
    </w:p>
    <w:p>
      <w:pPr>
        <w:snapToGrid w:val="0"/>
        <w:spacing w:line="360" w:lineRule="auto"/>
        <w:rPr>
          <w:rFonts w:ascii="宋体"/>
          <w:sz w:val="44"/>
          <w:szCs w:val="44"/>
        </w:rPr>
        <w:sectPr>
          <w:footerReference r:id="rId3" w:type="default"/>
          <w:pgSz w:w="11906" w:h="16838"/>
          <w:pgMar w:top="1440" w:right="1800" w:bottom="1440" w:left="1800" w:header="851" w:footer="992" w:gutter="0"/>
          <w:pgNumType w:start="1"/>
          <w:cols w:space="425" w:num="1"/>
          <w:titlePg/>
          <w:docGrid w:type="lines" w:linePitch="312" w:charSpace="0"/>
        </w:sectPr>
      </w:pPr>
    </w:p>
    <w:p>
      <w:pPr>
        <w:tabs>
          <w:tab w:val="left" w:pos="11340"/>
        </w:tabs>
        <w:adjustRightInd w:val="0"/>
        <w:snapToGrid w:val="0"/>
        <w:spacing w:line="360" w:lineRule="auto"/>
        <w:jc w:val="center"/>
        <w:rPr>
          <w:b/>
          <w:bCs/>
          <w:sz w:val="32"/>
          <w:szCs w:val="32"/>
        </w:rPr>
      </w:pPr>
      <w:r>
        <w:rPr>
          <w:rFonts w:hint="eastAsia" w:cs="宋体"/>
          <w:b/>
          <w:bCs/>
          <w:sz w:val="32"/>
          <w:szCs w:val="32"/>
        </w:rPr>
        <w:t>山西省地方标准《苹果高光效开心树形生产技术规程》修订征求意见情况汇总表</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sz w:val="21"/>
          <w:szCs w:val="21"/>
        </w:rPr>
      </w:pPr>
      <w:r>
        <w:rPr>
          <w:rFonts w:hint="eastAsia" w:cs="宋体"/>
          <w:sz w:val="21"/>
          <w:szCs w:val="21"/>
        </w:rPr>
        <w:t>起草单位：山西农业大学园艺学院</w:t>
      </w:r>
      <w:r>
        <w:rPr>
          <w:sz w:val="21"/>
          <w:szCs w:val="21"/>
        </w:rPr>
        <w:t xml:space="preserve">                                                     </w:t>
      </w:r>
      <w:r>
        <w:rPr>
          <w:rFonts w:hint="eastAsia"/>
          <w:sz w:val="21"/>
          <w:szCs w:val="21"/>
          <w:lang w:val="en-US" w:eastAsia="zh-CN"/>
        </w:rPr>
        <w:t xml:space="preserve">                                     </w:t>
      </w:r>
      <w:r>
        <w:rPr>
          <w:rFonts w:hint="eastAsia" w:cs="宋体"/>
          <w:sz w:val="21"/>
          <w:szCs w:val="21"/>
        </w:rPr>
        <w:t>承办人：</w:t>
      </w:r>
      <w:r>
        <w:rPr>
          <w:sz w:val="21"/>
          <w:szCs w:val="21"/>
        </w:rPr>
        <w:t xml:space="preserve"> </w:t>
      </w:r>
      <w:r>
        <w:rPr>
          <w:rFonts w:hint="eastAsia" w:cs="宋体"/>
          <w:sz w:val="21"/>
          <w:szCs w:val="21"/>
        </w:rPr>
        <w:t>蔚露</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sz w:val="21"/>
          <w:szCs w:val="21"/>
        </w:rPr>
      </w:pPr>
      <w:r>
        <w:rPr>
          <w:rFonts w:hint="eastAsia" w:cs="宋体"/>
          <w:sz w:val="21"/>
          <w:szCs w:val="21"/>
        </w:rPr>
        <w:t>联系电话：</w:t>
      </w:r>
      <w:r>
        <w:rPr>
          <w:sz w:val="21"/>
          <w:szCs w:val="21"/>
        </w:rPr>
        <w:t xml:space="preserve">15235163519                                                  </w:t>
      </w:r>
      <w:r>
        <w:rPr>
          <w:rFonts w:hint="eastAsia"/>
          <w:sz w:val="21"/>
          <w:szCs w:val="21"/>
          <w:lang w:val="en-US" w:eastAsia="zh-CN"/>
        </w:rPr>
        <w:t xml:space="preserve">                                    </w:t>
      </w:r>
      <w:r>
        <w:rPr>
          <w:rFonts w:hint="eastAsia" w:cs="宋体"/>
          <w:sz w:val="21"/>
          <w:szCs w:val="21"/>
        </w:rPr>
        <w:t>填写时间：</w:t>
      </w:r>
      <w:r>
        <w:rPr>
          <w:sz w:val="21"/>
          <w:szCs w:val="21"/>
        </w:rPr>
        <w:t xml:space="preserve">2024 </w:t>
      </w:r>
      <w:r>
        <w:rPr>
          <w:rFonts w:hint="eastAsia" w:cs="宋体"/>
          <w:sz w:val="21"/>
          <w:szCs w:val="21"/>
        </w:rPr>
        <w:t>年</w:t>
      </w:r>
      <w:r>
        <w:rPr>
          <w:sz w:val="21"/>
          <w:szCs w:val="21"/>
        </w:rPr>
        <w:t>1</w:t>
      </w:r>
      <w:r>
        <w:rPr>
          <w:rFonts w:hint="eastAsia" w:cs="宋体"/>
          <w:sz w:val="21"/>
          <w:szCs w:val="21"/>
        </w:rPr>
        <w:t>月</w:t>
      </w:r>
      <w:r>
        <w:rPr>
          <w:sz w:val="21"/>
          <w:szCs w:val="21"/>
        </w:rPr>
        <w:t>14</w:t>
      </w:r>
      <w:r>
        <w:rPr>
          <w:rFonts w:hint="eastAsia" w:cs="宋体"/>
          <w:sz w:val="21"/>
          <w:szCs w:val="21"/>
        </w:rPr>
        <w:t>日</w:t>
      </w:r>
      <w:r>
        <w:rPr>
          <w:sz w:val="21"/>
          <w:szCs w:val="21"/>
        </w:rPr>
        <w:t xml:space="preserve"> </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sz w:val="21"/>
          <w:szCs w:val="21"/>
        </w:rPr>
      </w:pPr>
      <w:r>
        <w:rPr>
          <w:rFonts w:hint="eastAsia" w:cs="宋体"/>
          <w:sz w:val="21"/>
          <w:szCs w:val="21"/>
        </w:rPr>
        <w:t>发送“征求意见稿”单位数：</w:t>
      </w:r>
      <w:r>
        <w:rPr>
          <w:sz w:val="21"/>
          <w:szCs w:val="21"/>
        </w:rPr>
        <w:t xml:space="preserve"> 6</w:t>
      </w:r>
      <w:r>
        <w:rPr>
          <w:rFonts w:hint="eastAsia" w:cs="宋体"/>
          <w:sz w:val="21"/>
          <w:szCs w:val="21"/>
        </w:rPr>
        <w:t>个；</w:t>
      </w:r>
      <w:r>
        <w:rPr>
          <w:sz w:val="21"/>
          <w:szCs w:val="21"/>
        </w:rPr>
        <w:t xml:space="preserve">                          </w:t>
      </w:r>
      <w:r>
        <w:rPr>
          <w:rFonts w:hint="eastAsia"/>
          <w:sz w:val="21"/>
          <w:szCs w:val="21"/>
          <w:lang w:val="en-US" w:eastAsia="zh-CN"/>
        </w:rPr>
        <w:t xml:space="preserve">                                   </w:t>
      </w:r>
      <w:r>
        <w:rPr>
          <w:rFonts w:hint="eastAsia" w:cs="宋体"/>
          <w:sz w:val="21"/>
          <w:szCs w:val="21"/>
        </w:rPr>
        <w:t>收到“征求意见稿”后，回函的单位数：</w:t>
      </w:r>
      <w:r>
        <w:rPr>
          <w:sz w:val="21"/>
          <w:szCs w:val="21"/>
        </w:rPr>
        <w:t>6</w:t>
      </w:r>
      <w:r>
        <w:rPr>
          <w:rFonts w:hint="eastAsia" w:cs="宋体"/>
          <w:sz w:val="21"/>
          <w:szCs w:val="21"/>
        </w:rPr>
        <w:t>个；</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sz w:val="21"/>
          <w:szCs w:val="21"/>
        </w:rPr>
      </w:pPr>
      <w:r>
        <w:rPr>
          <w:rFonts w:hint="eastAsia" w:cs="宋体"/>
          <w:sz w:val="21"/>
          <w:szCs w:val="21"/>
        </w:rPr>
        <w:t>收到“征求意见稿”后，回函并提出意见的单位数：</w:t>
      </w:r>
      <w:r>
        <w:rPr>
          <w:sz w:val="21"/>
          <w:szCs w:val="21"/>
        </w:rPr>
        <w:t>6</w:t>
      </w:r>
      <w:r>
        <w:rPr>
          <w:rFonts w:hint="eastAsia" w:cs="宋体"/>
          <w:sz w:val="21"/>
          <w:szCs w:val="21"/>
        </w:rPr>
        <w:t>个；</w:t>
      </w:r>
      <w:r>
        <w:rPr>
          <w:sz w:val="21"/>
          <w:szCs w:val="21"/>
        </w:rPr>
        <w:t xml:space="preserve">                        </w:t>
      </w:r>
      <w:r>
        <w:rPr>
          <w:rFonts w:hint="eastAsia"/>
          <w:sz w:val="21"/>
          <w:szCs w:val="21"/>
          <w:lang w:val="en-US" w:eastAsia="zh-CN"/>
        </w:rPr>
        <w:t xml:space="preserve">                                   </w:t>
      </w:r>
      <w:r>
        <w:rPr>
          <w:sz w:val="21"/>
          <w:szCs w:val="21"/>
        </w:rPr>
        <w:t xml:space="preserve"> </w:t>
      </w:r>
      <w:r>
        <w:rPr>
          <w:rFonts w:hint="eastAsia" w:cs="宋体"/>
          <w:sz w:val="21"/>
          <w:szCs w:val="21"/>
        </w:rPr>
        <w:t>没有回函的单位数：</w:t>
      </w:r>
      <w:r>
        <w:rPr>
          <w:sz w:val="21"/>
          <w:szCs w:val="21"/>
        </w:rPr>
        <w:t>0</w:t>
      </w:r>
      <w:r>
        <w:rPr>
          <w:rFonts w:hint="eastAsia" w:cs="宋体"/>
          <w:sz w:val="21"/>
          <w:szCs w:val="21"/>
        </w:rPr>
        <w:t>个。</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ascii="??_GB2312" w:hAnsi="宋体" w:eastAsia="Times New Roman"/>
          <w:sz w:val="21"/>
          <w:szCs w:val="21"/>
        </w:rPr>
      </w:pPr>
      <w:r>
        <w:rPr>
          <w:rFonts w:hint="eastAsia" w:cs="宋体"/>
          <w:sz w:val="21"/>
          <w:szCs w:val="21"/>
        </w:rPr>
        <w:t>共收到</w:t>
      </w:r>
      <w:r>
        <w:rPr>
          <w:sz w:val="21"/>
          <w:szCs w:val="21"/>
        </w:rPr>
        <w:t>8</w:t>
      </w:r>
      <w:r>
        <w:rPr>
          <w:rFonts w:hint="eastAsia" w:cs="宋体"/>
          <w:sz w:val="21"/>
          <w:szCs w:val="21"/>
        </w:rPr>
        <w:t>条意见；</w:t>
      </w:r>
      <w:r>
        <w:rPr>
          <w:sz w:val="21"/>
          <w:szCs w:val="21"/>
        </w:rPr>
        <w:t xml:space="preserve">                                                                     </w:t>
      </w:r>
      <w:r>
        <w:rPr>
          <w:rFonts w:hint="eastAsia"/>
          <w:sz w:val="21"/>
          <w:szCs w:val="21"/>
          <w:lang w:val="en-US" w:eastAsia="zh-CN"/>
        </w:rPr>
        <w:t xml:space="preserve">            </w:t>
      </w:r>
      <w:r>
        <w:rPr>
          <w:sz w:val="21"/>
          <w:szCs w:val="21"/>
        </w:rPr>
        <w:t xml:space="preserve"> </w:t>
      </w:r>
      <w:r>
        <w:rPr>
          <w:rFonts w:hint="eastAsia"/>
          <w:sz w:val="21"/>
          <w:szCs w:val="21"/>
          <w:lang w:val="en-US" w:eastAsia="zh-CN"/>
        </w:rPr>
        <w:t xml:space="preserve">                      </w:t>
      </w:r>
      <w:r>
        <w:rPr>
          <w:rFonts w:hint="eastAsia" w:cs="宋体"/>
          <w:sz w:val="21"/>
          <w:szCs w:val="21"/>
        </w:rPr>
        <w:t>采纳</w:t>
      </w:r>
      <w:r>
        <w:rPr>
          <w:sz w:val="21"/>
          <w:szCs w:val="21"/>
        </w:rPr>
        <w:t>8</w:t>
      </w:r>
      <w:r>
        <w:rPr>
          <w:rFonts w:hint="eastAsia" w:cs="宋体"/>
          <w:sz w:val="21"/>
          <w:szCs w:val="21"/>
        </w:rPr>
        <w:t>条意见。</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827"/>
        <w:gridCol w:w="1740"/>
        <w:gridCol w:w="5560"/>
        <w:gridCol w:w="2810"/>
        <w:gridCol w:w="1206"/>
        <w:gridCol w:w="1981"/>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1" w:hRule="atLeast"/>
          <w:jc w:val="center"/>
        </w:trPr>
        <w:tc>
          <w:tcPr>
            <w:tcW w:w="827" w:type="dxa"/>
            <w:tcBorders>
              <w:top w:val="single" w:color="auto" w:sz="8" w:space="0"/>
            </w:tcBorders>
            <w:noWrap/>
            <w:vAlign w:val="center"/>
          </w:tcPr>
          <w:p>
            <w:pPr>
              <w:keepNext w:val="0"/>
              <w:keepLines w:val="0"/>
              <w:suppressLineNumbers w:val="0"/>
              <w:adjustRightInd w:val="0"/>
              <w:snapToGrid w:val="0"/>
              <w:spacing w:before="0" w:beforeAutospacing="0" w:after="0" w:afterAutospacing="0" w:line="360" w:lineRule="auto"/>
              <w:ind w:left="0" w:right="0"/>
              <w:jc w:val="center"/>
              <w:rPr>
                <w:rFonts w:hint="default"/>
                <w:b/>
                <w:bCs/>
                <w:sz w:val="24"/>
                <w:szCs w:val="24"/>
              </w:rPr>
            </w:pPr>
            <w:r>
              <w:rPr>
                <w:rFonts w:hint="eastAsia" w:cs="宋体"/>
                <w:b/>
                <w:bCs/>
                <w:sz w:val="24"/>
                <w:szCs w:val="24"/>
              </w:rPr>
              <w:t>序号</w:t>
            </w:r>
          </w:p>
        </w:tc>
        <w:tc>
          <w:tcPr>
            <w:tcW w:w="1740" w:type="dxa"/>
            <w:tcBorders>
              <w:top w:val="single" w:color="auto" w:sz="8" w:space="0"/>
            </w:tcBorders>
            <w:noWrap/>
            <w:vAlign w:val="center"/>
          </w:tcPr>
          <w:p>
            <w:pPr>
              <w:keepNext w:val="0"/>
              <w:keepLines w:val="0"/>
              <w:suppressLineNumbers w:val="0"/>
              <w:adjustRightInd w:val="0"/>
              <w:snapToGrid w:val="0"/>
              <w:spacing w:before="0" w:beforeAutospacing="0" w:after="0" w:afterAutospacing="0" w:line="360" w:lineRule="auto"/>
              <w:ind w:left="0" w:right="0"/>
              <w:jc w:val="center"/>
              <w:rPr>
                <w:rFonts w:hint="default"/>
                <w:b/>
                <w:bCs/>
                <w:sz w:val="24"/>
                <w:szCs w:val="24"/>
              </w:rPr>
            </w:pPr>
            <w:r>
              <w:rPr>
                <w:rFonts w:hint="eastAsia" w:cs="宋体"/>
                <w:b/>
                <w:bCs/>
                <w:sz w:val="24"/>
                <w:szCs w:val="24"/>
              </w:rPr>
              <w:t>章条编号</w:t>
            </w:r>
          </w:p>
        </w:tc>
        <w:tc>
          <w:tcPr>
            <w:tcW w:w="5560" w:type="dxa"/>
            <w:tcBorders>
              <w:top w:val="single" w:color="auto" w:sz="8" w:space="0"/>
            </w:tcBorders>
            <w:noWrap/>
            <w:vAlign w:val="center"/>
          </w:tcPr>
          <w:p>
            <w:pPr>
              <w:keepNext w:val="0"/>
              <w:keepLines w:val="0"/>
              <w:suppressLineNumbers w:val="0"/>
              <w:adjustRightInd w:val="0"/>
              <w:snapToGrid w:val="0"/>
              <w:spacing w:before="0" w:beforeAutospacing="0" w:after="0" w:afterAutospacing="0" w:line="360" w:lineRule="auto"/>
              <w:ind w:left="0" w:right="0"/>
              <w:jc w:val="center"/>
              <w:rPr>
                <w:rFonts w:hint="default"/>
                <w:b/>
                <w:bCs/>
                <w:sz w:val="24"/>
                <w:szCs w:val="24"/>
              </w:rPr>
            </w:pPr>
            <w:r>
              <w:rPr>
                <w:rFonts w:hint="eastAsia" w:cs="宋体"/>
                <w:b/>
                <w:bCs/>
                <w:sz w:val="24"/>
                <w:szCs w:val="24"/>
              </w:rPr>
              <w:t>意见内容</w:t>
            </w:r>
          </w:p>
        </w:tc>
        <w:tc>
          <w:tcPr>
            <w:tcW w:w="2810" w:type="dxa"/>
            <w:tcBorders>
              <w:top w:val="single" w:color="auto" w:sz="8" w:space="0"/>
            </w:tcBorders>
            <w:noWrap/>
            <w:vAlign w:val="center"/>
          </w:tcPr>
          <w:p>
            <w:pPr>
              <w:keepNext w:val="0"/>
              <w:keepLines w:val="0"/>
              <w:suppressLineNumbers w:val="0"/>
              <w:adjustRightInd w:val="0"/>
              <w:snapToGrid w:val="0"/>
              <w:spacing w:before="0" w:beforeAutospacing="0" w:after="0" w:afterAutospacing="0" w:line="360" w:lineRule="auto"/>
              <w:ind w:left="0" w:right="0"/>
              <w:jc w:val="center"/>
              <w:rPr>
                <w:rFonts w:hint="default"/>
                <w:b/>
                <w:bCs/>
                <w:sz w:val="24"/>
                <w:szCs w:val="24"/>
              </w:rPr>
            </w:pPr>
            <w:r>
              <w:rPr>
                <w:rFonts w:hint="eastAsia" w:cs="宋体"/>
                <w:b/>
                <w:bCs/>
                <w:sz w:val="24"/>
                <w:szCs w:val="24"/>
              </w:rPr>
              <w:t>提出单位</w:t>
            </w:r>
          </w:p>
        </w:tc>
        <w:tc>
          <w:tcPr>
            <w:tcW w:w="1206" w:type="dxa"/>
            <w:tcBorders>
              <w:top w:val="single" w:color="auto" w:sz="8" w:space="0"/>
            </w:tcBorders>
            <w:noWrap/>
            <w:vAlign w:val="center"/>
          </w:tcPr>
          <w:p>
            <w:pPr>
              <w:keepNext w:val="0"/>
              <w:keepLines w:val="0"/>
              <w:suppressLineNumbers w:val="0"/>
              <w:adjustRightInd w:val="0"/>
              <w:snapToGrid w:val="0"/>
              <w:spacing w:before="0" w:beforeAutospacing="0" w:after="0" w:afterAutospacing="0" w:line="360" w:lineRule="auto"/>
              <w:ind w:left="0" w:right="0"/>
              <w:jc w:val="center"/>
              <w:rPr>
                <w:rFonts w:hint="default"/>
                <w:b/>
                <w:bCs/>
                <w:sz w:val="24"/>
                <w:szCs w:val="24"/>
              </w:rPr>
            </w:pPr>
            <w:r>
              <w:rPr>
                <w:rFonts w:hint="eastAsia" w:cs="宋体"/>
                <w:b/>
                <w:bCs/>
                <w:sz w:val="24"/>
                <w:szCs w:val="24"/>
              </w:rPr>
              <w:t>处理意见</w:t>
            </w:r>
          </w:p>
        </w:tc>
        <w:tc>
          <w:tcPr>
            <w:tcW w:w="1981" w:type="dxa"/>
            <w:tcBorders>
              <w:top w:val="single" w:color="auto" w:sz="8" w:space="0"/>
            </w:tcBorders>
            <w:noWrap/>
            <w:vAlign w:val="center"/>
          </w:tcPr>
          <w:p>
            <w:pPr>
              <w:keepNext w:val="0"/>
              <w:keepLines w:val="0"/>
              <w:suppressLineNumbers w:val="0"/>
              <w:adjustRightInd w:val="0"/>
              <w:snapToGrid w:val="0"/>
              <w:spacing w:before="0" w:beforeAutospacing="0" w:after="0" w:afterAutospacing="0" w:line="360" w:lineRule="auto"/>
              <w:ind w:left="0" w:right="0"/>
              <w:jc w:val="center"/>
              <w:rPr>
                <w:rFonts w:hint="default"/>
                <w:b/>
                <w:bCs/>
                <w:sz w:val="24"/>
                <w:szCs w:val="24"/>
              </w:rPr>
            </w:pPr>
            <w:r>
              <w:rPr>
                <w:rFonts w:hint="eastAsia" w:cs="宋体"/>
                <w:b/>
                <w:bCs/>
                <w:sz w:val="24"/>
                <w:szCs w:val="24"/>
              </w:rPr>
              <w:t>增补内容</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306" w:hRule="atLeast"/>
          <w:jc w:val="center"/>
        </w:trPr>
        <w:tc>
          <w:tcPr>
            <w:tcW w:w="827"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jc w:val="center"/>
              <w:textAlignment w:val="auto"/>
              <w:rPr>
                <w:rFonts w:hint="default" w:cs="宋体"/>
                <w:sz w:val="21"/>
                <w:szCs w:val="21"/>
              </w:rPr>
            </w:pPr>
            <w:r>
              <w:rPr>
                <w:rFonts w:hint="default" w:cs="宋体"/>
                <w:sz w:val="21"/>
                <w:szCs w:val="21"/>
              </w:rPr>
              <w:t>1</w:t>
            </w:r>
          </w:p>
        </w:tc>
        <w:tc>
          <w:tcPr>
            <w:tcW w:w="174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题目</w:t>
            </w:r>
          </w:p>
        </w:tc>
        <w:tc>
          <w:tcPr>
            <w:tcW w:w="556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建议更改为“苹果高光效开心树形整形修剪技术规程”</w:t>
            </w:r>
          </w:p>
        </w:tc>
        <w:tc>
          <w:tcPr>
            <w:tcW w:w="281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临汾市农业农村局</w:t>
            </w:r>
          </w:p>
        </w:tc>
        <w:tc>
          <w:tcPr>
            <w:tcW w:w="1206"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采纳</w:t>
            </w:r>
          </w:p>
        </w:tc>
        <w:tc>
          <w:tcPr>
            <w:tcW w:w="1981"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增改为“整形修剪”</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38" w:hRule="atLeast"/>
          <w:jc w:val="center"/>
        </w:trPr>
        <w:tc>
          <w:tcPr>
            <w:tcW w:w="827"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jc w:val="center"/>
              <w:textAlignment w:val="auto"/>
              <w:rPr>
                <w:rFonts w:hint="default" w:cs="宋体"/>
                <w:sz w:val="21"/>
                <w:szCs w:val="21"/>
              </w:rPr>
            </w:pPr>
            <w:r>
              <w:rPr>
                <w:rFonts w:hint="default" w:cs="宋体"/>
                <w:sz w:val="21"/>
                <w:szCs w:val="21"/>
              </w:rPr>
              <w:t>2</w:t>
            </w:r>
          </w:p>
        </w:tc>
        <w:tc>
          <w:tcPr>
            <w:tcW w:w="174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default" w:cs="宋体"/>
                <w:sz w:val="21"/>
                <w:szCs w:val="21"/>
              </w:rPr>
              <w:t xml:space="preserve">3.8 </w:t>
            </w:r>
            <w:r>
              <w:rPr>
                <w:rFonts w:hint="eastAsia" w:cs="宋体"/>
                <w:sz w:val="21"/>
                <w:szCs w:val="21"/>
              </w:rPr>
              <w:t>定义</w:t>
            </w:r>
          </w:p>
        </w:tc>
        <w:tc>
          <w:tcPr>
            <w:tcW w:w="556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高光效树形随着树龄的增加，永久性主枝数量逐步减少，永久枝上的侧生长数量也相应减少，建议将永久性主枝数量由</w:t>
            </w:r>
            <w:r>
              <w:rPr>
                <w:rFonts w:hint="default" w:cs="宋体"/>
                <w:sz w:val="21"/>
                <w:szCs w:val="21"/>
              </w:rPr>
              <w:t>3-4</w:t>
            </w:r>
            <w:r>
              <w:rPr>
                <w:rFonts w:hint="eastAsia" w:cs="宋体"/>
                <w:sz w:val="21"/>
                <w:szCs w:val="21"/>
              </w:rPr>
              <w:t>个减少为</w:t>
            </w:r>
            <w:r>
              <w:rPr>
                <w:rFonts w:hint="default" w:cs="宋体"/>
                <w:sz w:val="21"/>
                <w:szCs w:val="21"/>
              </w:rPr>
              <w:t>2-3</w:t>
            </w:r>
            <w:r>
              <w:rPr>
                <w:rFonts w:hint="eastAsia" w:cs="宋体"/>
                <w:sz w:val="21"/>
                <w:szCs w:val="21"/>
              </w:rPr>
              <w:t>个；测试数量由</w:t>
            </w:r>
            <w:r>
              <w:rPr>
                <w:rFonts w:hint="default" w:cs="宋体"/>
                <w:sz w:val="21"/>
                <w:szCs w:val="21"/>
              </w:rPr>
              <w:t>5-6</w:t>
            </w:r>
            <w:r>
              <w:rPr>
                <w:rFonts w:hint="eastAsia" w:cs="宋体"/>
                <w:sz w:val="21"/>
                <w:szCs w:val="21"/>
              </w:rPr>
              <w:t>个减少到</w:t>
            </w:r>
            <w:r>
              <w:rPr>
                <w:rFonts w:hint="default" w:cs="宋体"/>
                <w:sz w:val="21"/>
                <w:szCs w:val="21"/>
              </w:rPr>
              <w:t>3-4</w:t>
            </w:r>
            <w:r>
              <w:rPr>
                <w:rFonts w:hint="eastAsia" w:cs="宋体"/>
                <w:sz w:val="21"/>
                <w:szCs w:val="21"/>
              </w:rPr>
              <w:t>个。</w:t>
            </w:r>
          </w:p>
        </w:tc>
        <w:tc>
          <w:tcPr>
            <w:tcW w:w="281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临猗县忠定苹果专业合作社</w:t>
            </w:r>
          </w:p>
        </w:tc>
        <w:tc>
          <w:tcPr>
            <w:tcW w:w="1206"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采纳</w:t>
            </w:r>
          </w:p>
        </w:tc>
        <w:tc>
          <w:tcPr>
            <w:tcW w:w="1981"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default" w:cs="宋体"/>
                <w:sz w:val="21"/>
                <w:szCs w:val="21"/>
              </w:rPr>
              <w:t>30</w:t>
            </w:r>
            <w:r>
              <w:rPr>
                <w:rFonts w:hint="eastAsia" w:cs="宋体"/>
                <w:sz w:val="21"/>
                <w:szCs w:val="21"/>
              </w:rPr>
              <w:t>年左右的成龄果园采用</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413" w:hRule="atLeast"/>
          <w:jc w:val="center"/>
        </w:trPr>
        <w:tc>
          <w:tcPr>
            <w:tcW w:w="827"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jc w:val="center"/>
              <w:textAlignment w:val="auto"/>
              <w:rPr>
                <w:rFonts w:hint="default" w:cs="宋体"/>
                <w:sz w:val="21"/>
                <w:szCs w:val="21"/>
              </w:rPr>
            </w:pPr>
            <w:r>
              <w:rPr>
                <w:rFonts w:hint="default" w:cs="宋体"/>
                <w:sz w:val="21"/>
                <w:szCs w:val="21"/>
              </w:rPr>
              <w:t>3</w:t>
            </w:r>
          </w:p>
        </w:tc>
        <w:tc>
          <w:tcPr>
            <w:tcW w:w="174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default" w:cs="宋体"/>
                <w:sz w:val="21"/>
                <w:szCs w:val="21"/>
              </w:rPr>
              <w:t>5.2</w:t>
            </w:r>
            <w:r>
              <w:rPr>
                <w:rFonts w:hint="eastAsia" w:cs="宋体"/>
                <w:sz w:val="21"/>
                <w:szCs w:val="21"/>
              </w:rPr>
              <w:t>适宜栽培品种</w:t>
            </w:r>
          </w:p>
        </w:tc>
        <w:tc>
          <w:tcPr>
            <w:tcW w:w="556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增加瑞雪、蒲香红等新品种</w:t>
            </w:r>
          </w:p>
        </w:tc>
        <w:tc>
          <w:tcPr>
            <w:tcW w:w="281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山西钰海果业股份有限公司</w:t>
            </w:r>
          </w:p>
        </w:tc>
        <w:tc>
          <w:tcPr>
            <w:tcW w:w="1206"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采纳</w:t>
            </w:r>
          </w:p>
        </w:tc>
        <w:tc>
          <w:tcPr>
            <w:tcW w:w="1981"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并增加了其他相关品种。</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95" w:hRule="atLeast"/>
          <w:jc w:val="center"/>
        </w:trPr>
        <w:tc>
          <w:tcPr>
            <w:tcW w:w="827"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jc w:val="center"/>
              <w:textAlignment w:val="auto"/>
              <w:rPr>
                <w:rFonts w:hint="default" w:cs="宋体"/>
                <w:sz w:val="21"/>
                <w:szCs w:val="21"/>
              </w:rPr>
            </w:pPr>
            <w:r>
              <w:rPr>
                <w:rFonts w:hint="default" w:cs="宋体"/>
                <w:sz w:val="21"/>
                <w:szCs w:val="21"/>
              </w:rPr>
              <w:t>4</w:t>
            </w:r>
          </w:p>
        </w:tc>
        <w:tc>
          <w:tcPr>
            <w:tcW w:w="174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default" w:cs="宋体"/>
                <w:sz w:val="21"/>
                <w:szCs w:val="21"/>
              </w:rPr>
              <w:t>7</w:t>
            </w:r>
            <w:r>
              <w:rPr>
                <w:rFonts w:hint="eastAsia" w:cs="宋体"/>
                <w:sz w:val="21"/>
                <w:szCs w:val="21"/>
              </w:rPr>
              <w:t>增加一章修剪方法</w:t>
            </w:r>
          </w:p>
        </w:tc>
        <w:tc>
          <w:tcPr>
            <w:tcW w:w="556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后续的内容按照不同生长发育阶段进行整形修剪，为了准确理解整形修剪方法，建议单独列出一章，对主要整形修剪方法进行论述。</w:t>
            </w:r>
          </w:p>
        </w:tc>
        <w:tc>
          <w:tcPr>
            <w:tcW w:w="281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山西省园艺产业发展中心</w:t>
            </w:r>
          </w:p>
        </w:tc>
        <w:tc>
          <w:tcPr>
            <w:tcW w:w="1206"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采纳</w:t>
            </w:r>
          </w:p>
        </w:tc>
        <w:tc>
          <w:tcPr>
            <w:tcW w:w="1981"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重点论述了集中修剪方法</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335" w:hRule="atLeast"/>
          <w:jc w:val="center"/>
        </w:trPr>
        <w:tc>
          <w:tcPr>
            <w:tcW w:w="827"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jc w:val="center"/>
              <w:textAlignment w:val="auto"/>
              <w:rPr>
                <w:rFonts w:hint="default" w:cs="宋体"/>
                <w:sz w:val="21"/>
                <w:szCs w:val="21"/>
              </w:rPr>
            </w:pPr>
            <w:r>
              <w:rPr>
                <w:rFonts w:hint="default" w:cs="宋体"/>
                <w:sz w:val="21"/>
                <w:szCs w:val="21"/>
              </w:rPr>
              <w:t>5</w:t>
            </w:r>
          </w:p>
        </w:tc>
        <w:tc>
          <w:tcPr>
            <w:tcW w:w="174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default" w:cs="宋体"/>
                <w:sz w:val="21"/>
                <w:szCs w:val="21"/>
              </w:rPr>
              <w:t xml:space="preserve">7.1 </w:t>
            </w:r>
            <w:r>
              <w:rPr>
                <w:rFonts w:hint="eastAsia" w:cs="宋体"/>
                <w:sz w:val="21"/>
                <w:szCs w:val="21"/>
              </w:rPr>
              <w:t>基部提干</w:t>
            </w:r>
          </w:p>
        </w:tc>
        <w:tc>
          <w:tcPr>
            <w:tcW w:w="556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提干时，建议强调树势和增加叶幕光环境参数内容。</w:t>
            </w:r>
          </w:p>
        </w:tc>
        <w:tc>
          <w:tcPr>
            <w:tcW w:w="281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平陆县金童果有专业合作社</w:t>
            </w:r>
          </w:p>
        </w:tc>
        <w:tc>
          <w:tcPr>
            <w:tcW w:w="1206"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采纳</w:t>
            </w:r>
          </w:p>
        </w:tc>
        <w:tc>
          <w:tcPr>
            <w:tcW w:w="1981"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增加了内容</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50" w:hRule="atLeast"/>
          <w:jc w:val="center"/>
        </w:trPr>
        <w:tc>
          <w:tcPr>
            <w:tcW w:w="827"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jc w:val="center"/>
              <w:textAlignment w:val="auto"/>
              <w:rPr>
                <w:rFonts w:hint="default" w:cs="宋体"/>
                <w:sz w:val="21"/>
                <w:szCs w:val="21"/>
              </w:rPr>
            </w:pPr>
            <w:r>
              <w:rPr>
                <w:rFonts w:hint="default" w:cs="宋体"/>
                <w:sz w:val="21"/>
                <w:szCs w:val="21"/>
              </w:rPr>
              <w:t>6</w:t>
            </w:r>
          </w:p>
        </w:tc>
        <w:tc>
          <w:tcPr>
            <w:tcW w:w="174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default" w:cs="宋体"/>
                <w:sz w:val="21"/>
                <w:szCs w:val="21"/>
              </w:rPr>
              <w:t xml:space="preserve">9.2.4 </w:t>
            </w:r>
            <w:r>
              <w:rPr>
                <w:rFonts w:hint="eastAsia" w:cs="宋体"/>
                <w:sz w:val="21"/>
                <w:szCs w:val="21"/>
              </w:rPr>
              <w:t>长轴枝修剪</w:t>
            </w:r>
          </w:p>
        </w:tc>
        <w:tc>
          <w:tcPr>
            <w:tcW w:w="556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建议分别提出已经结果长轴结果枝修剪指标，同时列出预备结果枝的培养方法。</w:t>
            </w:r>
          </w:p>
        </w:tc>
        <w:tc>
          <w:tcPr>
            <w:tcW w:w="281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阳曲县邓家坪农业示范园</w:t>
            </w:r>
          </w:p>
        </w:tc>
        <w:tc>
          <w:tcPr>
            <w:tcW w:w="1206"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采纳</w:t>
            </w:r>
          </w:p>
        </w:tc>
        <w:tc>
          <w:tcPr>
            <w:tcW w:w="1981"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列出枝组长度等指标</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460" w:hRule="atLeast"/>
          <w:jc w:val="center"/>
        </w:trPr>
        <w:tc>
          <w:tcPr>
            <w:tcW w:w="827" w:type="dxa"/>
            <w:noWrap/>
            <w:vAlign w:val="center"/>
          </w:tcPr>
          <w:p>
            <w:pPr>
              <w:keepNext w:val="0"/>
              <w:keepLines w:val="0"/>
              <w:suppressLineNumbers w:val="0"/>
              <w:adjustRightInd w:val="0"/>
              <w:snapToGrid w:val="0"/>
              <w:spacing w:before="0" w:beforeAutospacing="0" w:after="0" w:afterAutospacing="0" w:line="360" w:lineRule="auto"/>
              <w:ind w:left="0" w:right="0"/>
              <w:jc w:val="center"/>
              <w:rPr>
                <w:rFonts w:hint="default"/>
              </w:rPr>
            </w:pPr>
            <w:r>
              <w:rPr>
                <w:rFonts w:hint="default"/>
              </w:rPr>
              <w:t>7</w:t>
            </w:r>
          </w:p>
        </w:tc>
        <w:tc>
          <w:tcPr>
            <w:tcW w:w="174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default" w:cs="宋体"/>
                <w:sz w:val="21"/>
                <w:szCs w:val="21"/>
              </w:rPr>
              <w:t>11.2</w:t>
            </w:r>
            <w:r>
              <w:rPr>
                <w:rFonts w:hint="eastAsia" w:cs="宋体"/>
                <w:sz w:val="21"/>
                <w:szCs w:val="21"/>
              </w:rPr>
              <w:t>整形修剪技术</w:t>
            </w:r>
          </w:p>
        </w:tc>
        <w:tc>
          <w:tcPr>
            <w:tcW w:w="556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建议增加永久性主枝的整形修剪内容</w:t>
            </w:r>
          </w:p>
        </w:tc>
        <w:tc>
          <w:tcPr>
            <w:tcW w:w="2810"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临汾市农业农村局</w:t>
            </w:r>
          </w:p>
        </w:tc>
        <w:tc>
          <w:tcPr>
            <w:tcW w:w="1206"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采纳</w:t>
            </w:r>
          </w:p>
        </w:tc>
        <w:tc>
          <w:tcPr>
            <w:tcW w:w="1981" w:type="dxa"/>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增加了成龄果园修剪方法</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460" w:hRule="atLeast"/>
          <w:jc w:val="center"/>
        </w:trPr>
        <w:tc>
          <w:tcPr>
            <w:tcW w:w="827" w:type="dxa"/>
            <w:tcBorders>
              <w:bottom w:val="single" w:color="auto" w:sz="8" w:space="0"/>
            </w:tcBorders>
            <w:noWrap/>
            <w:vAlign w:val="center"/>
          </w:tcPr>
          <w:p>
            <w:pPr>
              <w:keepNext w:val="0"/>
              <w:keepLines w:val="0"/>
              <w:suppressLineNumbers w:val="0"/>
              <w:adjustRightInd w:val="0"/>
              <w:snapToGrid w:val="0"/>
              <w:spacing w:before="0" w:beforeAutospacing="0" w:after="0" w:afterAutospacing="0" w:line="360" w:lineRule="auto"/>
              <w:ind w:left="0" w:right="0"/>
              <w:jc w:val="center"/>
              <w:rPr>
                <w:rFonts w:hint="default"/>
              </w:rPr>
            </w:pPr>
            <w:r>
              <w:rPr>
                <w:rFonts w:hint="default"/>
              </w:rPr>
              <w:t>8</w:t>
            </w:r>
          </w:p>
        </w:tc>
        <w:tc>
          <w:tcPr>
            <w:tcW w:w="1740" w:type="dxa"/>
            <w:tcBorders>
              <w:bottom w:val="single" w:color="auto" w:sz="8"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default" w:cs="宋体"/>
                <w:sz w:val="21"/>
                <w:szCs w:val="21"/>
              </w:rPr>
              <w:t>13</w:t>
            </w:r>
            <w:r>
              <w:rPr>
                <w:rFonts w:hint="eastAsia" w:cs="宋体"/>
                <w:sz w:val="21"/>
                <w:szCs w:val="21"/>
              </w:rPr>
              <w:t>病虫害防治</w:t>
            </w:r>
          </w:p>
        </w:tc>
        <w:tc>
          <w:tcPr>
            <w:tcW w:w="5560" w:type="dxa"/>
            <w:tcBorders>
              <w:bottom w:val="single" w:color="auto" w:sz="8"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建议更新引用文件</w:t>
            </w:r>
          </w:p>
        </w:tc>
        <w:tc>
          <w:tcPr>
            <w:tcW w:w="2810" w:type="dxa"/>
            <w:tcBorders>
              <w:bottom w:val="single" w:color="auto" w:sz="8"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山西省园艺产业发展中心</w:t>
            </w:r>
          </w:p>
        </w:tc>
        <w:tc>
          <w:tcPr>
            <w:tcW w:w="1206" w:type="dxa"/>
            <w:tcBorders>
              <w:bottom w:val="single" w:color="auto" w:sz="8"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采纳</w:t>
            </w:r>
          </w:p>
        </w:tc>
        <w:tc>
          <w:tcPr>
            <w:tcW w:w="1981" w:type="dxa"/>
            <w:tcBorders>
              <w:bottom w:val="single" w:color="auto" w:sz="8"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40" w:lineRule="exact"/>
              <w:ind w:left="0" w:right="0"/>
              <w:textAlignment w:val="auto"/>
              <w:rPr>
                <w:rFonts w:hint="default" w:cs="宋体"/>
                <w:sz w:val="21"/>
                <w:szCs w:val="21"/>
              </w:rPr>
            </w:pPr>
            <w:r>
              <w:rPr>
                <w:rFonts w:hint="eastAsia" w:cs="宋体"/>
                <w:sz w:val="21"/>
                <w:szCs w:val="21"/>
              </w:rPr>
              <w:t>更新</w:t>
            </w:r>
            <w:r>
              <w:rPr>
                <w:rFonts w:hint="default" w:cs="宋体"/>
                <w:sz w:val="21"/>
                <w:szCs w:val="21"/>
              </w:rPr>
              <w:t>DB14/T 1640</w:t>
            </w:r>
          </w:p>
        </w:tc>
      </w:tr>
    </w:tbl>
    <w:p>
      <w:pPr>
        <w:spacing w:line="360" w:lineRule="auto"/>
        <w:jc w:val="left"/>
      </w:pPr>
    </w:p>
    <w:sectPr>
      <w:pgSz w:w="16838" w:h="11906" w:orient="landscape"/>
      <w:pgMar w:top="1800" w:right="1440" w:bottom="1800" w:left="144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8</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C51B64"/>
    <w:multiLevelType w:val="singleLevel"/>
    <w:tmpl w:val="66C51B64"/>
    <w:lvl w:ilvl="0" w:tentative="0">
      <w:start w:val="9"/>
      <w:numFmt w:val="chineseCounting"/>
      <w:suff w:val="nothing"/>
      <w:lvlText w:val="%1、"/>
      <w:lvlJc w:val="left"/>
      <w:rPr>
        <w:rFonts w:hint="eastAsia"/>
      </w:rPr>
    </w:lvl>
  </w:abstractNum>
  <w:abstractNum w:abstractNumId="1">
    <w:nsid w:val="6CEA2025"/>
    <w:multiLevelType w:val="multilevel"/>
    <w:tmpl w:val="6CEA2025"/>
    <w:lvl w:ilvl="0" w:tentative="0">
      <w:start w:val="1"/>
      <w:numFmt w:val="none"/>
      <w:pStyle w:val="38"/>
      <w:suff w:val="nothing"/>
      <w:lvlText w:val="%1"/>
      <w:lvlJc w:val="left"/>
      <w:rPr>
        <w:rFonts w:hint="eastAsia"/>
      </w:rPr>
    </w:lvl>
    <w:lvl w:ilvl="1" w:tentative="0">
      <w:start w:val="1"/>
      <w:numFmt w:val="decimal"/>
      <w:pStyle w:val="36"/>
      <w:suff w:val="nothing"/>
      <w:lvlText w:val="%1%2　"/>
      <w:lvlJc w:val="left"/>
      <w:rPr>
        <w:rFonts w:hint="eastAsia" w:ascii="黑体" w:eastAsia="黑体"/>
        <w:b w:val="0"/>
        <w:bCs w:val="0"/>
        <w:i w:val="0"/>
        <w:iCs w:val="0"/>
        <w:sz w:val="21"/>
        <w:szCs w:val="21"/>
      </w:rPr>
    </w:lvl>
    <w:lvl w:ilvl="2" w:tentative="0">
      <w:start w:val="1"/>
      <w:numFmt w:val="decimal"/>
      <w:pStyle w:val="37"/>
      <w:suff w:val="nothing"/>
      <w:lvlText w:val="%1%2.%3　"/>
      <w:lvlJc w:val="left"/>
      <w:rPr>
        <w:rFonts w:hint="eastAsia" w:ascii="黑体" w:hAnsi="Times New Roman" w:eastAsia="黑体"/>
        <w:b w:val="0"/>
        <w:bCs w:val="0"/>
        <w:i w:val="0"/>
        <w:iCs w:val="0"/>
        <w:caps w:val="0"/>
        <w:smallCaps w:val="0"/>
        <w:strike w:val="0"/>
        <w:dstrike w:val="0"/>
        <w:vanish w:val="0"/>
        <w:color w:val="000000"/>
        <w:spacing w:val="0"/>
        <w:kern w:val="0"/>
        <w:position w:val="0"/>
        <w:sz w:val="21"/>
        <w:szCs w:val="21"/>
        <w:u w:val="none"/>
        <w:vertAlign w:val="baseline"/>
      </w:rPr>
    </w:lvl>
    <w:lvl w:ilvl="3" w:tentative="0">
      <w:start w:val="1"/>
      <w:numFmt w:val="decimal"/>
      <w:pStyle w:val="32"/>
      <w:suff w:val="nothing"/>
      <w:lvlText w:val="%1%2.%3.%4　"/>
      <w:lvlJc w:val="left"/>
      <w:rPr>
        <w:rFonts w:hint="eastAsia" w:ascii="黑体" w:eastAsia="黑体"/>
        <w:b w:val="0"/>
        <w:bCs w:val="0"/>
        <w:i w:val="0"/>
        <w:iCs w:val="0"/>
        <w:sz w:val="21"/>
        <w:szCs w:val="21"/>
      </w:rPr>
    </w:lvl>
    <w:lvl w:ilvl="4" w:tentative="0">
      <w:start w:val="1"/>
      <w:numFmt w:val="decimal"/>
      <w:pStyle w:val="33"/>
      <w:suff w:val="nothing"/>
      <w:lvlText w:val="%1%2.%3.%4.%5　"/>
      <w:lvlJc w:val="left"/>
      <w:rPr>
        <w:rFonts w:hint="eastAsia" w:ascii="黑体" w:eastAsia="黑体"/>
        <w:b w:val="0"/>
        <w:bCs w:val="0"/>
        <w:i w:val="0"/>
        <w:iCs w:val="0"/>
        <w:sz w:val="21"/>
        <w:szCs w:val="21"/>
      </w:rPr>
    </w:lvl>
    <w:lvl w:ilvl="5" w:tentative="0">
      <w:start w:val="1"/>
      <w:numFmt w:val="decimal"/>
      <w:pStyle w:val="34"/>
      <w:suff w:val="nothing"/>
      <w:lvlText w:val="%1%2.%3.%4.%5.%6　"/>
      <w:lvlJc w:val="left"/>
      <w:rPr>
        <w:rFonts w:hint="eastAsia" w:ascii="黑体" w:eastAsia="黑体"/>
        <w:b w:val="0"/>
        <w:bCs w:val="0"/>
        <w:i w:val="0"/>
        <w:iCs w:val="0"/>
        <w:sz w:val="21"/>
        <w:szCs w:val="21"/>
      </w:rPr>
    </w:lvl>
    <w:lvl w:ilvl="6" w:tentative="0">
      <w:start w:val="1"/>
      <w:numFmt w:val="decimal"/>
      <w:pStyle w:val="35"/>
      <w:suff w:val="nothing"/>
      <w:lvlText w:val="%1%2.%3.%4.%5.%6.%7　"/>
      <w:lvlJc w:val="left"/>
      <w:rPr>
        <w:rFonts w:hint="eastAsia" w:ascii="黑体"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7A1B5122"/>
    <w:multiLevelType w:val="singleLevel"/>
    <w:tmpl w:val="7A1B5122"/>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AyODY4ZWU3ZjBkZWY4NjExMGVjMzQyNWMyNjlkYjgifQ=="/>
  </w:docVars>
  <w:rsids>
    <w:rsidRoot w:val="00636FC5"/>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07D4"/>
    <w:rsid w:val="00061514"/>
    <w:rsid w:val="0006204E"/>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36A5"/>
    <w:rsid w:val="000D7E22"/>
    <w:rsid w:val="000E0029"/>
    <w:rsid w:val="000E0518"/>
    <w:rsid w:val="000E5DDF"/>
    <w:rsid w:val="00104D9E"/>
    <w:rsid w:val="001079E4"/>
    <w:rsid w:val="00114B28"/>
    <w:rsid w:val="00136B80"/>
    <w:rsid w:val="00140883"/>
    <w:rsid w:val="001422D2"/>
    <w:rsid w:val="00142DCA"/>
    <w:rsid w:val="001451F2"/>
    <w:rsid w:val="00153E55"/>
    <w:rsid w:val="00155235"/>
    <w:rsid w:val="0016381F"/>
    <w:rsid w:val="0016534D"/>
    <w:rsid w:val="001653E3"/>
    <w:rsid w:val="001657F4"/>
    <w:rsid w:val="00184DC2"/>
    <w:rsid w:val="00195264"/>
    <w:rsid w:val="001A0041"/>
    <w:rsid w:val="001A0916"/>
    <w:rsid w:val="001C0311"/>
    <w:rsid w:val="001C1B81"/>
    <w:rsid w:val="001C2BE8"/>
    <w:rsid w:val="001C3ACE"/>
    <w:rsid w:val="001C3D31"/>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1DE"/>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A2F"/>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810BA"/>
    <w:rsid w:val="003925B2"/>
    <w:rsid w:val="00394B25"/>
    <w:rsid w:val="0039560A"/>
    <w:rsid w:val="003A21FE"/>
    <w:rsid w:val="003A5C65"/>
    <w:rsid w:val="003B0DE6"/>
    <w:rsid w:val="003B17F4"/>
    <w:rsid w:val="003B1D77"/>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679BA"/>
    <w:rsid w:val="004770BA"/>
    <w:rsid w:val="0048050F"/>
    <w:rsid w:val="00485AB3"/>
    <w:rsid w:val="00487C47"/>
    <w:rsid w:val="0049020D"/>
    <w:rsid w:val="004943B6"/>
    <w:rsid w:val="00494F67"/>
    <w:rsid w:val="00495DCD"/>
    <w:rsid w:val="004A0CC0"/>
    <w:rsid w:val="004A2295"/>
    <w:rsid w:val="004A6D81"/>
    <w:rsid w:val="004A7E24"/>
    <w:rsid w:val="004B7966"/>
    <w:rsid w:val="004B7B8C"/>
    <w:rsid w:val="004D4066"/>
    <w:rsid w:val="004D62AF"/>
    <w:rsid w:val="004E42DA"/>
    <w:rsid w:val="004E45D5"/>
    <w:rsid w:val="004E49DF"/>
    <w:rsid w:val="004E531D"/>
    <w:rsid w:val="004E5AFA"/>
    <w:rsid w:val="004F10CE"/>
    <w:rsid w:val="004F4490"/>
    <w:rsid w:val="004F4EF5"/>
    <w:rsid w:val="004F6A63"/>
    <w:rsid w:val="00504A7B"/>
    <w:rsid w:val="0050538B"/>
    <w:rsid w:val="005119FA"/>
    <w:rsid w:val="00513F60"/>
    <w:rsid w:val="005165DC"/>
    <w:rsid w:val="00532A27"/>
    <w:rsid w:val="00532EC9"/>
    <w:rsid w:val="0053409C"/>
    <w:rsid w:val="0053513E"/>
    <w:rsid w:val="005354BE"/>
    <w:rsid w:val="00535FC3"/>
    <w:rsid w:val="00536728"/>
    <w:rsid w:val="0056323B"/>
    <w:rsid w:val="00564B59"/>
    <w:rsid w:val="00573771"/>
    <w:rsid w:val="005811F3"/>
    <w:rsid w:val="00582DEA"/>
    <w:rsid w:val="0058589E"/>
    <w:rsid w:val="005913FC"/>
    <w:rsid w:val="0059142D"/>
    <w:rsid w:val="005915E3"/>
    <w:rsid w:val="00597C60"/>
    <w:rsid w:val="005A0ED2"/>
    <w:rsid w:val="005A3C89"/>
    <w:rsid w:val="005A42A5"/>
    <w:rsid w:val="005B07C8"/>
    <w:rsid w:val="005B1473"/>
    <w:rsid w:val="005B4A6F"/>
    <w:rsid w:val="005B7CA6"/>
    <w:rsid w:val="005C1F9E"/>
    <w:rsid w:val="005D7139"/>
    <w:rsid w:val="005E5E7B"/>
    <w:rsid w:val="005F020B"/>
    <w:rsid w:val="005F3B9E"/>
    <w:rsid w:val="005F3DB9"/>
    <w:rsid w:val="005F50AA"/>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0F3E"/>
    <w:rsid w:val="0068404D"/>
    <w:rsid w:val="00691427"/>
    <w:rsid w:val="006915F6"/>
    <w:rsid w:val="00691656"/>
    <w:rsid w:val="006918FB"/>
    <w:rsid w:val="00693173"/>
    <w:rsid w:val="0069777F"/>
    <w:rsid w:val="006A4784"/>
    <w:rsid w:val="006A5225"/>
    <w:rsid w:val="006A7107"/>
    <w:rsid w:val="006A770D"/>
    <w:rsid w:val="006B3E2E"/>
    <w:rsid w:val="006C472E"/>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4190C"/>
    <w:rsid w:val="00743BCA"/>
    <w:rsid w:val="00755C73"/>
    <w:rsid w:val="00757A64"/>
    <w:rsid w:val="00760C71"/>
    <w:rsid w:val="00763867"/>
    <w:rsid w:val="007665EF"/>
    <w:rsid w:val="00767B97"/>
    <w:rsid w:val="0077176C"/>
    <w:rsid w:val="00772C34"/>
    <w:rsid w:val="00773A15"/>
    <w:rsid w:val="007743EC"/>
    <w:rsid w:val="00776852"/>
    <w:rsid w:val="00776D66"/>
    <w:rsid w:val="00777B27"/>
    <w:rsid w:val="00791BB3"/>
    <w:rsid w:val="0079399E"/>
    <w:rsid w:val="00795AB4"/>
    <w:rsid w:val="007975E1"/>
    <w:rsid w:val="007A65A0"/>
    <w:rsid w:val="007B0D2E"/>
    <w:rsid w:val="007B2777"/>
    <w:rsid w:val="007B2968"/>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4B45"/>
    <w:rsid w:val="00880EC6"/>
    <w:rsid w:val="00884A91"/>
    <w:rsid w:val="00887105"/>
    <w:rsid w:val="008935DA"/>
    <w:rsid w:val="008A1B81"/>
    <w:rsid w:val="008A36A4"/>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0544"/>
    <w:rsid w:val="009211BD"/>
    <w:rsid w:val="0092160B"/>
    <w:rsid w:val="0092627B"/>
    <w:rsid w:val="00934199"/>
    <w:rsid w:val="009358E1"/>
    <w:rsid w:val="00936A6B"/>
    <w:rsid w:val="00953792"/>
    <w:rsid w:val="00964B97"/>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E3DCE"/>
    <w:rsid w:val="009F1169"/>
    <w:rsid w:val="009F39E8"/>
    <w:rsid w:val="009F75FD"/>
    <w:rsid w:val="00A2176F"/>
    <w:rsid w:val="00A25526"/>
    <w:rsid w:val="00A30ABC"/>
    <w:rsid w:val="00A31F81"/>
    <w:rsid w:val="00A37819"/>
    <w:rsid w:val="00A4435A"/>
    <w:rsid w:val="00A4451F"/>
    <w:rsid w:val="00A46A80"/>
    <w:rsid w:val="00A50EBF"/>
    <w:rsid w:val="00A52D3C"/>
    <w:rsid w:val="00A53139"/>
    <w:rsid w:val="00A53AA5"/>
    <w:rsid w:val="00A5458D"/>
    <w:rsid w:val="00A57273"/>
    <w:rsid w:val="00A62ED4"/>
    <w:rsid w:val="00A6637E"/>
    <w:rsid w:val="00A73148"/>
    <w:rsid w:val="00A74F2B"/>
    <w:rsid w:val="00A8184F"/>
    <w:rsid w:val="00A90B3A"/>
    <w:rsid w:val="00A935E8"/>
    <w:rsid w:val="00A9450A"/>
    <w:rsid w:val="00A9569D"/>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2F49"/>
    <w:rsid w:val="00BC5FAC"/>
    <w:rsid w:val="00BD5606"/>
    <w:rsid w:val="00BE2554"/>
    <w:rsid w:val="00BE3B52"/>
    <w:rsid w:val="00BE465C"/>
    <w:rsid w:val="00C0419D"/>
    <w:rsid w:val="00C05123"/>
    <w:rsid w:val="00C06C73"/>
    <w:rsid w:val="00C15323"/>
    <w:rsid w:val="00C3286F"/>
    <w:rsid w:val="00C3299F"/>
    <w:rsid w:val="00C33013"/>
    <w:rsid w:val="00C411B7"/>
    <w:rsid w:val="00C43949"/>
    <w:rsid w:val="00C459D1"/>
    <w:rsid w:val="00C505BD"/>
    <w:rsid w:val="00C561D9"/>
    <w:rsid w:val="00C665D4"/>
    <w:rsid w:val="00C7245E"/>
    <w:rsid w:val="00C76C16"/>
    <w:rsid w:val="00C77D84"/>
    <w:rsid w:val="00C815C4"/>
    <w:rsid w:val="00C84B6C"/>
    <w:rsid w:val="00C91A98"/>
    <w:rsid w:val="00C93AC5"/>
    <w:rsid w:val="00CA0F6E"/>
    <w:rsid w:val="00CA1614"/>
    <w:rsid w:val="00CA54AC"/>
    <w:rsid w:val="00CA746E"/>
    <w:rsid w:val="00CA7B78"/>
    <w:rsid w:val="00CB117C"/>
    <w:rsid w:val="00CC297A"/>
    <w:rsid w:val="00CC3B0C"/>
    <w:rsid w:val="00CD4D54"/>
    <w:rsid w:val="00CD687E"/>
    <w:rsid w:val="00CD6BB6"/>
    <w:rsid w:val="00CE3B64"/>
    <w:rsid w:val="00CE7C77"/>
    <w:rsid w:val="00CF763D"/>
    <w:rsid w:val="00D002E5"/>
    <w:rsid w:val="00D020CC"/>
    <w:rsid w:val="00D042CB"/>
    <w:rsid w:val="00D10633"/>
    <w:rsid w:val="00D10DC3"/>
    <w:rsid w:val="00D17707"/>
    <w:rsid w:val="00D211A9"/>
    <w:rsid w:val="00D259BF"/>
    <w:rsid w:val="00D26281"/>
    <w:rsid w:val="00D27F7C"/>
    <w:rsid w:val="00D46020"/>
    <w:rsid w:val="00D56B74"/>
    <w:rsid w:val="00D57A84"/>
    <w:rsid w:val="00D665A9"/>
    <w:rsid w:val="00D72927"/>
    <w:rsid w:val="00D72C03"/>
    <w:rsid w:val="00D81CD3"/>
    <w:rsid w:val="00D9062C"/>
    <w:rsid w:val="00D91C3A"/>
    <w:rsid w:val="00D93605"/>
    <w:rsid w:val="00D9617E"/>
    <w:rsid w:val="00DA3FA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82B"/>
    <w:rsid w:val="00E47699"/>
    <w:rsid w:val="00E628B1"/>
    <w:rsid w:val="00E71D53"/>
    <w:rsid w:val="00E722BD"/>
    <w:rsid w:val="00E830F6"/>
    <w:rsid w:val="00E87347"/>
    <w:rsid w:val="00E945B0"/>
    <w:rsid w:val="00E94AFD"/>
    <w:rsid w:val="00E957AE"/>
    <w:rsid w:val="00EA6262"/>
    <w:rsid w:val="00EB4480"/>
    <w:rsid w:val="00EB6465"/>
    <w:rsid w:val="00ED6677"/>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EA3"/>
    <w:rsid w:val="00F73553"/>
    <w:rsid w:val="00F778B9"/>
    <w:rsid w:val="00F77E65"/>
    <w:rsid w:val="00F8226F"/>
    <w:rsid w:val="00F83543"/>
    <w:rsid w:val="00F84C53"/>
    <w:rsid w:val="00F907D1"/>
    <w:rsid w:val="00F926B8"/>
    <w:rsid w:val="00F9426F"/>
    <w:rsid w:val="00F95F55"/>
    <w:rsid w:val="00F968DC"/>
    <w:rsid w:val="00FA2E27"/>
    <w:rsid w:val="00FA4128"/>
    <w:rsid w:val="00FA50A6"/>
    <w:rsid w:val="00FA6158"/>
    <w:rsid w:val="00FA63F4"/>
    <w:rsid w:val="00FB15E3"/>
    <w:rsid w:val="00FB79BD"/>
    <w:rsid w:val="00FC754C"/>
    <w:rsid w:val="00FD0304"/>
    <w:rsid w:val="00FD3CE4"/>
    <w:rsid w:val="00FD684B"/>
    <w:rsid w:val="04857B06"/>
    <w:rsid w:val="06BB7FE3"/>
    <w:rsid w:val="271372E8"/>
    <w:rsid w:val="28C37AE7"/>
    <w:rsid w:val="34BE1384"/>
    <w:rsid w:val="39905AF8"/>
    <w:rsid w:val="3B6E70E8"/>
    <w:rsid w:val="43A55671"/>
    <w:rsid w:val="48417265"/>
    <w:rsid w:val="4D835F02"/>
    <w:rsid w:val="526112FD"/>
    <w:rsid w:val="52C673B2"/>
    <w:rsid w:val="53E528A9"/>
    <w:rsid w:val="546A4E3B"/>
    <w:rsid w:val="58C55C73"/>
    <w:rsid w:val="6158522E"/>
    <w:rsid w:val="641B0962"/>
    <w:rsid w:val="6C621AA2"/>
    <w:rsid w:val="702C48A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ocked="1"/>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6"/>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1"/>
    <w:next w:val="1"/>
    <w:link w:val="17"/>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3">
    <w:name w:val="Default Paragraph Font"/>
    <w:link w:val="14"/>
    <w:semiHidden/>
    <w:qFormat/>
    <w:locked/>
    <w:uiPriority w:val="99"/>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4">
    <w:name w:val="caption"/>
    <w:basedOn w:val="1"/>
    <w:autoRedefine/>
    <w:qFormat/>
    <w:uiPriority w:val="99"/>
    <w:pPr>
      <w:suppressLineNumbers/>
      <w:suppressAutoHyphens/>
      <w:spacing w:before="120" w:after="120"/>
    </w:pPr>
    <w:rPr>
      <w:i/>
      <w:iCs/>
      <w:kern w:val="21"/>
      <w:sz w:val="24"/>
      <w:szCs w:val="24"/>
      <w:lang w:eastAsia="ar-SA"/>
    </w:rPr>
  </w:style>
  <w:style w:type="paragraph" w:styleId="5">
    <w:name w:val="Body Text"/>
    <w:basedOn w:val="1"/>
    <w:link w:val="18"/>
    <w:autoRedefine/>
    <w:qFormat/>
    <w:uiPriority w:val="99"/>
    <w:pPr>
      <w:spacing w:after="120"/>
    </w:pPr>
  </w:style>
  <w:style w:type="paragraph" w:styleId="6">
    <w:name w:val="Date"/>
    <w:basedOn w:val="1"/>
    <w:next w:val="1"/>
    <w:link w:val="19"/>
    <w:autoRedefine/>
    <w:semiHidden/>
    <w:qFormat/>
    <w:uiPriority w:val="99"/>
    <w:pPr>
      <w:ind w:left="100" w:leftChars="2500"/>
    </w:pPr>
  </w:style>
  <w:style w:type="paragraph" w:styleId="7">
    <w:name w:val="Balloon Text"/>
    <w:basedOn w:val="1"/>
    <w:link w:val="20"/>
    <w:autoRedefine/>
    <w:semiHidden/>
    <w:qFormat/>
    <w:uiPriority w:val="99"/>
    <w:rPr>
      <w:sz w:val="18"/>
      <w:szCs w:val="18"/>
    </w:rPr>
  </w:style>
  <w:style w:type="paragraph" w:styleId="8">
    <w:name w:val="footer"/>
    <w:basedOn w:val="1"/>
    <w:link w:val="21"/>
    <w:autoRedefine/>
    <w:qFormat/>
    <w:uiPriority w:val="99"/>
    <w:pPr>
      <w:tabs>
        <w:tab w:val="center" w:pos="4153"/>
        <w:tab w:val="right" w:pos="8306"/>
      </w:tabs>
      <w:snapToGrid w:val="0"/>
      <w:jc w:val="left"/>
    </w:pPr>
    <w:rPr>
      <w:kern w:val="0"/>
      <w:sz w:val="18"/>
      <w:szCs w:val="18"/>
    </w:rPr>
  </w:style>
  <w:style w:type="paragraph" w:styleId="9">
    <w:name w:val="header"/>
    <w:basedOn w:val="1"/>
    <w:link w:val="22"/>
    <w:autoRedefine/>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Normal (Web)"/>
    <w:basedOn w:val="1"/>
    <w:next w:val="1"/>
    <w:autoRedefine/>
    <w:qFormat/>
    <w:uiPriority w:val="99"/>
    <w:pPr>
      <w:spacing w:before="100" w:beforeAutospacing="1" w:after="100" w:afterAutospacing="1"/>
      <w:jc w:val="left"/>
    </w:pPr>
    <w:rPr>
      <w:kern w:val="0"/>
      <w:sz w:val="24"/>
      <w:szCs w:val="24"/>
    </w:rPr>
  </w:style>
  <w:style w:type="table" w:styleId="12">
    <w:name w:val="Table Grid"/>
    <w:basedOn w:val="11"/>
    <w:autoRedefine/>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Char1 Char Char Char"/>
    <w:basedOn w:val="1"/>
    <w:link w:val="13"/>
    <w:qFormat/>
    <w:uiPriority w:val="99"/>
    <w:pPr>
      <w:spacing w:line="360" w:lineRule="auto"/>
    </w:pPr>
  </w:style>
  <w:style w:type="character" w:styleId="15">
    <w:name w:val="Strong"/>
    <w:basedOn w:val="13"/>
    <w:autoRedefine/>
    <w:qFormat/>
    <w:uiPriority w:val="99"/>
    <w:rPr>
      <w:b/>
      <w:bCs/>
    </w:rPr>
  </w:style>
  <w:style w:type="character" w:customStyle="1" w:styleId="16">
    <w:name w:val="Heading 1 Char"/>
    <w:basedOn w:val="13"/>
    <w:link w:val="2"/>
    <w:autoRedefine/>
    <w:qFormat/>
    <w:locked/>
    <w:uiPriority w:val="99"/>
    <w:rPr>
      <w:b/>
      <w:bCs/>
      <w:kern w:val="1"/>
      <w:sz w:val="44"/>
      <w:szCs w:val="44"/>
      <w:lang w:eastAsia="ar-SA" w:bidi="ar-SA"/>
    </w:rPr>
  </w:style>
  <w:style w:type="character" w:customStyle="1" w:styleId="17">
    <w:name w:val="Heading 3 Char"/>
    <w:basedOn w:val="13"/>
    <w:link w:val="3"/>
    <w:autoRedefine/>
    <w:qFormat/>
    <w:locked/>
    <w:uiPriority w:val="99"/>
    <w:rPr>
      <w:b/>
      <w:bCs/>
      <w:kern w:val="21"/>
      <w:sz w:val="32"/>
      <w:szCs w:val="32"/>
      <w:lang w:eastAsia="ar-SA" w:bidi="ar-SA"/>
    </w:rPr>
  </w:style>
  <w:style w:type="character" w:customStyle="1" w:styleId="18">
    <w:name w:val="Body Text Char"/>
    <w:basedOn w:val="13"/>
    <w:link w:val="5"/>
    <w:qFormat/>
    <w:locked/>
    <w:uiPriority w:val="99"/>
    <w:rPr>
      <w:kern w:val="2"/>
      <w:sz w:val="24"/>
      <w:szCs w:val="24"/>
    </w:rPr>
  </w:style>
  <w:style w:type="character" w:customStyle="1" w:styleId="19">
    <w:name w:val="Date Char"/>
    <w:basedOn w:val="13"/>
    <w:link w:val="6"/>
    <w:autoRedefine/>
    <w:semiHidden/>
    <w:qFormat/>
    <w:locked/>
    <w:uiPriority w:val="99"/>
    <w:rPr>
      <w:kern w:val="2"/>
      <w:sz w:val="24"/>
      <w:szCs w:val="24"/>
    </w:rPr>
  </w:style>
  <w:style w:type="character" w:customStyle="1" w:styleId="20">
    <w:name w:val="Balloon Text Char"/>
    <w:basedOn w:val="13"/>
    <w:link w:val="7"/>
    <w:autoRedefine/>
    <w:semiHidden/>
    <w:qFormat/>
    <w:locked/>
    <w:uiPriority w:val="99"/>
    <w:rPr>
      <w:kern w:val="2"/>
      <w:sz w:val="18"/>
      <w:szCs w:val="18"/>
    </w:rPr>
  </w:style>
  <w:style w:type="character" w:customStyle="1" w:styleId="21">
    <w:name w:val="Footer Char"/>
    <w:basedOn w:val="13"/>
    <w:link w:val="8"/>
    <w:qFormat/>
    <w:locked/>
    <w:uiPriority w:val="99"/>
    <w:rPr>
      <w:sz w:val="18"/>
      <w:szCs w:val="18"/>
    </w:rPr>
  </w:style>
  <w:style w:type="character" w:customStyle="1" w:styleId="22">
    <w:name w:val="Header Char"/>
    <w:basedOn w:val="13"/>
    <w:link w:val="9"/>
    <w:autoRedefine/>
    <w:qFormat/>
    <w:locked/>
    <w:uiPriority w:val="99"/>
    <w:rPr>
      <w:sz w:val="18"/>
      <w:szCs w:val="18"/>
    </w:rPr>
  </w:style>
  <w:style w:type="paragraph" w:customStyle="1" w:styleId="23">
    <w:name w:val="正文首行缩进 21"/>
    <w:basedOn w:val="24"/>
    <w:next w:val="10"/>
    <w:autoRedefine/>
    <w:qFormat/>
    <w:uiPriority w:val="99"/>
    <w:rPr>
      <w:sz w:val="32"/>
      <w:szCs w:val="32"/>
    </w:rPr>
  </w:style>
  <w:style w:type="paragraph" w:customStyle="1" w:styleId="24">
    <w:name w:val="正文文本缩进1"/>
    <w:basedOn w:val="1"/>
    <w:autoRedefine/>
    <w:qFormat/>
    <w:uiPriority w:val="99"/>
    <w:pPr>
      <w:ind w:left="200" w:leftChars="200"/>
    </w:pPr>
  </w:style>
  <w:style w:type="paragraph" w:styleId="25">
    <w:name w:val="List Paragraph"/>
    <w:basedOn w:val="1"/>
    <w:autoRedefine/>
    <w:qFormat/>
    <w:uiPriority w:val="99"/>
    <w:pPr>
      <w:suppressAutoHyphens/>
      <w:ind w:firstLine="420" w:firstLineChars="200"/>
    </w:pPr>
    <w:rPr>
      <w:kern w:val="21"/>
      <w:lang w:eastAsia="ar-SA"/>
    </w:rPr>
  </w:style>
  <w:style w:type="paragraph" w:customStyle="1" w:styleId="26">
    <w:name w:val="段"/>
    <w:link w:val="27"/>
    <w:autoRedefine/>
    <w:qFormat/>
    <w:uiPriority w:val="99"/>
    <w:pPr>
      <w:tabs>
        <w:tab w:val="center" w:pos="4201"/>
        <w:tab w:val="right" w:leader="dot" w:pos="9298"/>
      </w:tabs>
      <w:autoSpaceDE w:val="0"/>
      <w:autoSpaceDN w:val="0"/>
      <w:ind w:firstLine="420" w:firstLineChars="200"/>
      <w:jc w:val="both"/>
    </w:pPr>
    <w:rPr>
      <w:rFonts w:ascii="宋体" w:hAnsi="Times New Roman" w:eastAsia="宋体" w:cs="宋体"/>
      <w:kern w:val="0"/>
      <w:sz w:val="21"/>
      <w:szCs w:val="21"/>
      <w:lang w:val="en-US" w:eastAsia="zh-CN" w:bidi="ar-SA"/>
    </w:rPr>
  </w:style>
  <w:style w:type="character" w:customStyle="1" w:styleId="27">
    <w:name w:val="段 Char"/>
    <w:link w:val="26"/>
    <w:autoRedefine/>
    <w:qFormat/>
    <w:locked/>
    <w:uiPriority w:val="99"/>
    <w:rPr>
      <w:rFonts w:ascii="宋体" w:cs="宋体"/>
      <w:sz w:val="21"/>
      <w:szCs w:val="21"/>
      <w:lang w:val="en-US" w:eastAsia="zh-CN"/>
    </w:rPr>
  </w:style>
  <w:style w:type="table" w:customStyle="1" w:styleId="28">
    <w:name w:val="浅色底纹1"/>
    <w:qFormat/>
    <w:uiPriority w:val="99"/>
    <w:rPr>
      <w:color w:val="000000"/>
      <w:kern w:val="0"/>
      <w:sz w:val="20"/>
      <w:szCs w:val="2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pPr>
      <w:rPr>
        <w:b/>
        <w:bCs/>
      </w:rPr>
      <w:tcPr>
        <w:tcBorders>
          <w:top w:val="single" w:color="000000" w:sz="8" w:space="0"/>
          <w:left w:val="nil"/>
          <w:bottom w:val="single" w:color="000000" w:sz="8" w:space="0"/>
          <w:right w:val="nil"/>
          <w:insideH w:val="nil"/>
          <w:insideV w:val="nil"/>
        </w:tcBorders>
      </w:tcPr>
    </w:tblStylePr>
    <w:tblStylePr w:type="lastRow">
      <w:pPr>
        <w:spacing w:before="0" w:after="0"/>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9">
    <w:name w:val="浅色底纹2"/>
    <w:autoRedefine/>
    <w:qFormat/>
    <w:uiPriority w:val="99"/>
    <w:rPr>
      <w:color w:val="000000"/>
      <w:kern w:val="0"/>
      <w:sz w:val="20"/>
      <w:szCs w:val="2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pPr>
      <w:rPr>
        <w:b/>
        <w:bCs/>
      </w:rPr>
      <w:tcPr>
        <w:tcBorders>
          <w:top w:val="single" w:color="000000" w:sz="8" w:space="0"/>
          <w:left w:val="nil"/>
          <w:bottom w:val="single" w:color="000000" w:sz="8" w:space="0"/>
          <w:right w:val="nil"/>
          <w:insideH w:val="nil"/>
          <w:insideV w:val="nil"/>
        </w:tcBorders>
      </w:tcPr>
    </w:tblStylePr>
    <w:tblStylePr w:type="lastRow">
      <w:pPr>
        <w:spacing w:before="0" w:after="0"/>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customStyle="1" w:styleId="30">
    <w:name w:val="标准文件_段"/>
    <w:link w:val="31"/>
    <w:autoRedefine/>
    <w:qFormat/>
    <w:uiPriority w:val="99"/>
    <w:pPr>
      <w:autoSpaceDE w:val="0"/>
      <w:autoSpaceDN w:val="0"/>
      <w:ind w:firstLine="200" w:firstLineChars="200"/>
      <w:jc w:val="both"/>
    </w:pPr>
    <w:rPr>
      <w:rFonts w:ascii="宋体" w:hAnsi="Times New Roman" w:eastAsia="宋体" w:cs="宋体"/>
      <w:kern w:val="0"/>
      <w:sz w:val="21"/>
      <w:szCs w:val="21"/>
      <w:lang w:val="en-US" w:eastAsia="zh-CN" w:bidi="ar-SA"/>
    </w:rPr>
  </w:style>
  <w:style w:type="character" w:customStyle="1" w:styleId="31">
    <w:name w:val="标准文件_段 Char"/>
    <w:link w:val="30"/>
    <w:autoRedefine/>
    <w:qFormat/>
    <w:locked/>
    <w:uiPriority w:val="99"/>
    <w:rPr>
      <w:rFonts w:ascii="宋体" w:cs="宋体"/>
      <w:sz w:val="21"/>
      <w:szCs w:val="21"/>
    </w:rPr>
  </w:style>
  <w:style w:type="paragraph" w:customStyle="1" w:styleId="32">
    <w:name w:val="标准文件_二级条标题"/>
    <w:next w:val="30"/>
    <w:autoRedefine/>
    <w:qFormat/>
    <w:uiPriority w:val="99"/>
    <w:pPr>
      <w:widowControl w:val="0"/>
      <w:numPr>
        <w:ilvl w:val="3"/>
        <w:numId w:val="1"/>
      </w:numPr>
      <w:spacing w:beforeLines="50" w:afterLines="50"/>
      <w:jc w:val="both"/>
      <w:outlineLvl w:val="2"/>
    </w:pPr>
    <w:rPr>
      <w:rFonts w:ascii="黑体" w:hAnsi="Times New Roman" w:eastAsia="黑体" w:cs="黑体"/>
      <w:kern w:val="0"/>
      <w:sz w:val="21"/>
      <w:szCs w:val="21"/>
      <w:lang w:val="en-US" w:eastAsia="zh-CN" w:bidi="ar-SA"/>
    </w:rPr>
  </w:style>
  <w:style w:type="paragraph" w:customStyle="1" w:styleId="33">
    <w:name w:val="标准文件_三级条标题"/>
    <w:basedOn w:val="32"/>
    <w:next w:val="30"/>
    <w:autoRedefine/>
    <w:qFormat/>
    <w:uiPriority w:val="99"/>
    <w:pPr>
      <w:widowControl/>
      <w:numPr>
        <w:ilvl w:val="4"/>
      </w:numPr>
      <w:outlineLvl w:val="3"/>
    </w:pPr>
  </w:style>
  <w:style w:type="paragraph" w:customStyle="1" w:styleId="34">
    <w:name w:val="标准文件_四级条标题"/>
    <w:next w:val="30"/>
    <w:autoRedefine/>
    <w:qFormat/>
    <w:uiPriority w:val="99"/>
    <w:pPr>
      <w:widowControl w:val="0"/>
      <w:numPr>
        <w:ilvl w:val="5"/>
        <w:numId w:val="1"/>
      </w:numPr>
      <w:spacing w:beforeLines="50" w:afterLines="50"/>
      <w:jc w:val="both"/>
      <w:outlineLvl w:val="4"/>
    </w:pPr>
    <w:rPr>
      <w:rFonts w:ascii="黑体" w:hAnsi="Times New Roman" w:eastAsia="黑体" w:cs="黑体"/>
      <w:kern w:val="0"/>
      <w:sz w:val="21"/>
      <w:szCs w:val="21"/>
      <w:lang w:val="en-US" w:eastAsia="zh-CN" w:bidi="ar-SA"/>
    </w:rPr>
  </w:style>
  <w:style w:type="paragraph" w:customStyle="1" w:styleId="35">
    <w:name w:val="标准文件_五级条标题"/>
    <w:next w:val="30"/>
    <w:autoRedefine/>
    <w:qFormat/>
    <w:uiPriority w:val="99"/>
    <w:pPr>
      <w:widowControl w:val="0"/>
      <w:numPr>
        <w:ilvl w:val="6"/>
        <w:numId w:val="1"/>
      </w:numPr>
      <w:spacing w:beforeLines="50" w:afterLines="50"/>
      <w:jc w:val="both"/>
      <w:outlineLvl w:val="5"/>
    </w:pPr>
    <w:rPr>
      <w:rFonts w:ascii="黑体" w:hAnsi="Times New Roman" w:eastAsia="黑体" w:cs="黑体"/>
      <w:kern w:val="0"/>
      <w:sz w:val="21"/>
      <w:szCs w:val="21"/>
      <w:lang w:val="en-US" w:eastAsia="zh-CN" w:bidi="ar-SA"/>
    </w:rPr>
  </w:style>
  <w:style w:type="paragraph" w:customStyle="1" w:styleId="36">
    <w:name w:val="标准文件_章标题"/>
    <w:next w:val="30"/>
    <w:autoRedefine/>
    <w:qFormat/>
    <w:uiPriority w:val="99"/>
    <w:pPr>
      <w:numPr>
        <w:ilvl w:val="1"/>
        <w:numId w:val="1"/>
      </w:numPr>
      <w:spacing w:beforeLines="100" w:afterLines="100"/>
      <w:jc w:val="both"/>
      <w:outlineLvl w:val="0"/>
    </w:pPr>
    <w:rPr>
      <w:rFonts w:ascii="黑体" w:hAnsi="Times New Roman" w:eastAsia="黑体" w:cs="黑体"/>
      <w:kern w:val="0"/>
      <w:sz w:val="21"/>
      <w:szCs w:val="21"/>
      <w:lang w:val="en-US" w:eastAsia="zh-CN" w:bidi="ar-SA"/>
    </w:rPr>
  </w:style>
  <w:style w:type="paragraph" w:customStyle="1" w:styleId="37">
    <w:name w:val="标准文件_一级条标题"/>
    <w:basedOn w:val="36"/>
    <w:next w:val="30"/>
    <w:qFormat/>
    <w:uiPriority w:val="99"/>
    <w:pPr>
      <w:numPr>
        <w:ilvl w:val="2"/>
      </w:numPr>
      <w:spacing w:beforeLines="50" w:afterLines="50"/>
      <w:outlineLvl w:val="1"/>
    </w:pPr>
  </w:style>
  <w:style w:type="paragraph" w:customStyle="1" w:styleId="38">
    <w:name w:val="前言标题"/>
    <w:next w:val="1"/>
    <w:autoRedefine/>
    <w:qFormat/>
    <w:uiPriority w:val="99"/>
    <w:pPr>
      <w:numPr>
        <w:ilvl w:val="0"/>
        <w:numId w:val="1"/>
      </w:numPr>
      <w:shd w:val="clear" w:color="FFFFFF" w:fill="FFFFFF"/>
      <w:spacing w:before="540" w:after="600"/>
      <w:jc w:val="center"/>
      <w:outlineLvl w:val="0"/>
    </w:pPr>
    <w:rPr>
      <w:rFonts w:ascii="黑体" w:hAnsi="Times New Roman" w:eastAsia="黑体" w:cs="黑体"/>
      <w:kern w:val="0"/>
      <w:sz w:val="32"/>
      <w:szCs w:val="32"/>
      <w:lang w:val="en-US" w:eastAsia="zh-CN" w:bidi="ar-SA"/>
    </w:rPr>
  </w:style>
  <w:style w:type="paragraph" w:customStyle="1" w:styleId="39">
    <w:name w:val="正文1"/>
    <w:autoRedefine/>
    <w:qFormat/>
    <w:uiPriority w:val="99"/>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Lenovo</Company>
  <Pages>10</Pages>
  <Words>5284</Words>
  <Characters>6155</Characters>
  <Lines>0</Lines>
  <Paragraphs>0</Paragraphs>
  <TotalTime>3</TotalTime>
  <ScaleCrop>false</ScaleCrop>
  <LinksUpToDate>false</LinksUpToDate>
  <CharactersWithSpaces>6680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2016-02-23T07:17:00Z</dcterms:created>
  <dc:creator>lenovo</dc:creator>
  <cp:lastModifiedBy>露</cp:lastModifiedBy>
  <cp:lastPrinted>2024-08-02T06:52:02Z</cp:lastPrinted>
  <dcterms:modified xsi:type="dcterms:W3CDTF">2024-08-02T06:54:00Z</dcterms:modified>
  <cp:revision>563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9F71B675824C4256B8F308B37BFEE201_12</vt:lpwstr>
  </property>
</Properties>
</file>